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1D230" w14:textId="23033867" w:rsidR="001E0A28" w:rsidRPr="00910E13" w:rsidRDefault="001E0A28" w:rsidP="001E0A28">
      <w:pPr>
        <w:spacing w:after="120"/>
        <w:ind w:left="1985" w:hanging="1985"/>
        <w:rPr>
          <w:rFonts w:ascii="Arial" w:eastAsiaTheme="minorEastAsia" w:hAnsi="Arial" w:cs="Arial"/>
          <w:b/>
          <w:sz w:val="24"/>
          <w:szCs w:val="24"/>
          <w:lang w:val="en-US" w:eastAsia="zh-CN"/>
        </w:rPr>
      </w:pPr>
      <w:r w:rsidRPr="00910E13">
        <w:rPr>
          <w:rFonts w:ascii="Arial" w:eastAsiaTheme="minorEastAsia" w:hAnsi="Arial" w:cs="Arial"/>
          <w:b/>
          <w:sz w:val="24"/>
          <w:szCs w:val="24"/>
          <w:lang w:val="en-US" w:eastAsia="zh-CN"/>
        </w:rPr>
        <w:t xml:space="preserve">3GPP TSG-RAN WG4 Meeting # </w:t>
      </w:r>
      <w:r w:rsidR="00DF43DA" w:rsidRPr="00910E13">
        <w:rPr>
          <w:rFonts w:ascii="Arial" w:eastAsiaTheme="minorEastAsia" w:hAnsi="Arial" w:cs="Arial"/>
          <w:b/>
          <w:sz w:val="24"/>
          <w:szCs w:val="24"/>
          <w:lang w:val="en-US" w:eastAsia="zh-CN"/>
        </w:rPr>
        <w:t>104</w:t>
      </w:r>
      <w:r w:rsidR="003F3A2F" w:rsidRPr="00910E13">
        <w:rPr>
          <w:rFonts w:ascii="Arial" w:eastAsiaTheme="minorEastAsia" w:hAnsi="Arial" w:cs="Arial"/>
          <w:b/>
          <w:sz w:val="24"/>
          <w:szCs w:val="24"/>
          <w:lang w:val="en-US" w:eastAsia="zh-CN"/>
        </w:rPr>
        <w:t>-e</w:t>
      </w:r>
      <w:r w:rsidRPr="00910E13">
        <w:rPr>
          <w:rFonts w:ascii="Arial" w:eastAsiaTheme="minorEastAsia" w:hAnsi="Arial" w:cs="Arial"/>
          <w:b/>
          <w:sz w:val="24"/>
          <w:szCs w:val="24"/>
          <w:lang w:val="en-US" w:eastAsia="zh-CN"/>
        </w:rPr>
        <w:tab/>
      </w:r>
      <w:r w:rsidRPr="00910E13">
        <w:rPr>
          <w:rFonts w:ascii="Arial" w:eastAsiaTheme="minorEastAsia" w:hAnsi="Arial" w:cs="Arial"/>
          <w:b/>
          <w:sz w:val="24"/>
          <w:szCs w:val="24"/>
          <w:lang w:val="en-US" w:eastAsia="zh-CN"/>
        </w:rPr>
        <w:tab/>
      </w:r>
      <w:r w:rsidRPr="00910E13">
        <w:rPr>
          <w:rFonts w:ascii="Arial" w:eastAsiaTheme="minorEastAsia" w:hAnsi="Arial" w:cs="Arial"/>
          <w:b/>
          <w:sz w:val="24"/>
          <w:szCs w:val="24"/>
          <w:lang w:val="en-US" w:eastAsia="zh-CN"/>
        </w:rPr>
        <w:tab/>
      </w:r>
      <w:r w:rsidRPr="00910E13">
        <w:rPr>
          <w:rFonts w:ascii="Arial" w:eastAsiaTheme="minorEastAsia" w:hAnsi="Arial" w:cs="Arial"/>
          <w:b/>
          <w:sz w:val="24"/>
          <w:szCs w:val="24"/>
          <w:lang w:val="en-US" w:eastAsia="zh-CN"/>
        </w:rPr>
        <w:tab/>
      </w:r>
      <w:r w:rsidRPr="00910E13">
        <w:rPr>
          <w:rFonts w:ascii="Arial" w:eastAsiaTheme="minorEastAsia" w:hAnsi="Arial" w:cs="Arial"/>
          <w:b/>
          <w:sz w:val="24"/>
          <w:szCs w:val="24"/>
          <w:lang w:val="en-US" w:eastAsia="zh-CN"/>
        </w:rPr>
        <w:tab/>
      </w:r>
      <w:r w:rsidRPr="00910E13">
        <w:rPr>
          <w:rFonts w:ascii="Arial" w:eastAsiaTheme="minorEastAsia" w:hAnsi="Arial" w:cs="Arial"/>
          <w:b/>
          <w:sz w:val="24"/>
          <w:szCs w:val="24"/>
          <w:lang w:val="en-US" w:eastAsia="zh-CN"/>
        </w:rPr>
        <w:tab/>
      </w:r>
      <w:r w:rsidRPr="00910E13">
        <w:rPr>
          <w:rFonts w:ascii="Arial" w:eastAsiaTheme="minorEastAsia" w:hAnsi="Arial" w:cs="Arial"/>
          <w:b/>
          <w:sz w:val="24"/>
          <w:szCs w:val="24"/>
          <w:lang w:val="en-US" w:eastAsia="zh-CN"/>
        </w:rPr>
        <w:tab/>
      </w:r>
      <w:r w:rsidRPr="00910E13">
        <w:rPr>
          <w:rFonts w:ascii="Arial" w:eastAsiaTheme="minorEastAsia" w:hAnsi="Arial" w:cs="Arial"/>
          <w:b/>
          <w:sz w:val="24"/>
          <w:szCs w:val="24"/>
          <w:lang w:val="en-US" w:eastAsia="zh-CN"/>
        </w:rPr>
        <w:tab/>
      </w:r>
      <w:r w:rsidRPr="00910E13">
        <w:rPr>
          <w:rFonts w:ascii="Arial" w:eastAsiaTheme="minorEastAsia" w:hAnsi="Arial" w:cs="Arial"/>
          <w:b/>
          <w:sz w:val="24"/>
          <w:szCs w:val="24"/>
          <w:lang w:val="en-US" w:eastAsia="zh-CN"/>
        </w:rPr>
        <w:tab/>
      </w:r>
      <w:r w:rsidRPr="00910E13">
        <w:rPr>
          <w:rFonts w:ascii="Arial" w:eastAsiaTheme="minorEastAsia" w:hAnsi="Arial" w:cs="Arial"/>
          <w:b/>
          <w:sz w:val="24"/>
          <w:szCs w:val="24"/>
          <w:lang w:val="en-US" w:eastAsia="zh-CN"/>
        </w:rPr>
        <w:tab/>
      </w:r>
      <w:r w:rsidRPr="00910E13">
        <w:rPr>
          <w:rFonts w:ascii="Arial" w:eastAsiaTheme="minorEastAsia" w:hAnsi="Arial" w:cs="Arial"/>
          <w:b/>
          <w:sz w:val="24"/>
          <w:szCs w:val="24"/>
          <w:lang w:val="en-US" w:eastAsia="zh-CN"/>
        </w:rPr>
        <w:tab/>
      </w:r>
      <w:r w:rsidRPr="00910E13">
        <w:rPr>
          <w:rFonts w:ascii="Arial" w:eastAsiaTheme="minorEastAsia" w:hAnsi="Arial" w:cs="Arial"/>
          <w:b/>
          <w:sz w:val="24"/>
          <w:szCs w:val="24"/>
          <w:lang w:val="en-US" w:eastAsia="zh-CN"/>
        </w:rPr>
        <w:tab/>
      </w:r>
      <w:r w:rsidRPr="00F14F6D">
        <w:rPr>
          <w:rFonts w:ascii="Arial" w:eastAsiaTheme="minorEastAsia" w:hAnsi="Arial" w:cs="Arial"/>
          <w:b/>
          <w:sz w:val="24"/>
          <w:szCs w:val="24"/>
          <w:lang w:val="en-US" w:eastAsia="zh-CN"/>
        </w:rPr>
        <w:t>R4-</w:t>
      </w:r>
      <w:r w:rsidR="003F3A2F" w:rsidRPr="00F14F6D">
        <w:rPr>
          <w:rFonts w:ascii="Arial" w:eastAsiaTheme="minorEastAsia" w:hAnsi="Arial" w:cs="Arial"/>
          <w:b/>
          <w:sz w:val="24"/>
          <w:szCs w:val="24"/>
          <w:lang w:val="en-US" w:eastAsia="zh-CN"/>
        </w:rPr>
        <w:t>2</w:t>
      </w:r>
      <w:r w:rsidR="000D19DE" w:rsidRPr="00F14F6D">
        <w:rPr>
          <w:rFonts w:ascii="Arial" w:eastAsiaTheme="minorEastAsia" w:hAnsi="Arial" w:cs="Arial"/>
          <w:b/>
          <w:sz w:val="24"/>
          <w:szCs w:val="24"/>
          <w:lang w:val="en-US" w:eastAsia="zh-CN"/>
        </w:rPr>
        <w:t>2</w:t>
      </w:r>
      <w:r w:rsidR="00F14F6D" w:rsidRPr="00F14F6D">
        <w:rPr>
          <w:rFonts w:ascii="Arial" w:eastAsiaTheme="minorEastAsia" w:hAnsi="Arial" w:cs="Arial"/>
          <w:b/>
          <w:sz w:val="24"/>
          <w:szCs w:val="24"/>
          <w:lang w:val="en-US" w:eastAsia="zh-CN"/>
        </w:rPr>
        <w:t>13277</w:t>
      </w:r>
    </w:p>
    <w:p w14:paraId="76896BD4" w14:textId="2A24AA87" w:rsidR="00615EBB" w:rsidRPr="00910E13" w:rsidRDefault="001E0A28" w:rsidP="001E0A28">
      <w:pPr>
        <w:spacing w:after="120"/>
        <w:ind w:left="1985" w:hanging="1985"/>
        <w:rPr>
          <w:rFonts w:ascii="Arial" w:eastAsiaTheme="minorEastAsia" w:hAnsi="Arial" w:cs="Arial"/>
          <w:b/>
          <w:sz w:val="24"/>
          <w:szCs w:val="24"/>
          <w:lang w:val="en-US" w:eastAsia="zh-CN"/>
        </w:rPr>
      </w:pPr>
      <w:r w:rsidRPr="00910E13">
        <w:rPr>
          <w:rFonts w:ascii="Arial" w:eastAsiaTheme="minorEastAsia" w:hAnsi="Arial" w:cs="Arial"/>
          <w:b/>
          <w:sz w:val="24"/>
          <w:szCs w:val="24"/>
          <w:lang w:val="en-US" w:eastAsia="zh-CN"/>
        </w:rPr>
        <w:t xml:space="preserve">Electronic Meeting, </w:t>
      </w:r>
      <w:r w:rsidR="00AF38D3" w:rsidRPr="00910E13">
        <w:rPr>
          <w:rFonts w:ascii="Arial" w:hAnsi="Arial"/>
          <w:b/>
          <w:sz w:val="24"/>
          <w:szCs w:val="24"/>
          <w:lang w:val="en-US" w:eastAsia="zh-CN"/>
        </w:rPr>
        <w:t>15</w:t>
      </w:r>
      <w:r w:rsidR="00442337" w:rsidRPr="00910E13">
        <w:rPr>
          <w:rFonts w:ascii="Arial" w:hAnsi="Arial"/>
          <w:b/>
          <w:sz w:val="24"/>
          <w:szCs w:val="24"/>
          <w:lang w:val="en-US" w:eastAsia="zh-CN"/>
        </w:rPr>
        <w:t xml:space="preserve"> – </w:t>
      </w:r>
      <w:r w:rsidR="00AF38D3" w:rsidRPr="00910E13">
        <w:rPr>
          <w:rFonts w:ascii="Arial" w:hAnsi="Arial"/>
          <w:b/>
          <w:sz w:val="24"/>
          <w:szCs w:val="24"/>
          <w:lang w:val="en-US" w:eastAsia="zh-CN"/>
        </w:rPr>
        <w:t>26</w:t>
      </w:r>
      <w:r w:rsidR="00442337" w:rsidRPr="00910E13">
        <w:rPr>
          <w:rFonts w:ascii="Arial" w:hAnsi="Arial"/>
          <w:b/>
          <w:sz w:val="24"/>
          <w:szCs w:val="24"/>
          <w:lang w:val="en-US" w:eastAsia="zh-CN"/>
        </w:rPr>
        <w:t xml:space="preserve"> </w:t>
      </w:r>
      <w:r w:rsidR="00DF43DA" w:rsidRPr="00910E13">
        <w:rPr>
          <w:rFonts w:ascii="Arial" w:hAnsi="Arial"/>
          <w:b/>
          <w:sz w:val="24"/>
          <w:szCs w:val="24"/>
          <w:lang w:val="en-US" w:eastAsia="zh-CN"/>
        </w:rPr>
        <w:t>August</w:t>
      </w:r>
      <w:r w:rsidR="00442337" w:rsidRPr="00910E13">
        <w:rPr>
          <w:rFonts w:ascii="Arial" w:hAnsi="Arial"/>
          <w:b/>
          <w:sz w:val="24"/>
          <w:szCs w:val="24"/>
          <w:lang w:val="en-US" w:eastAsia="zh-CN"/>
        </w:rPr>
        <w:t xml:space="preserve"> 202</w:t>
      </w:r>
      <w:r w:rsidR="000D19DE" w:rsidRPr="00910E13">
        <w:rPr>
          <w:rFonts w:ascii="Arial" w:hAnsi="Arial"/>
          <w:b/>
          <w:sz w:val="24"/>
          <w:szCs w:val="24"/>
          <w:lang w:val="en-US" w:eastAsia="zh-CN"/>
        </w:rPr>
        <w:t>2</w:t>
      </w:r>
    </w:p>
    <w:p w14:paraId="10FA8F8A" w14:textId="77777777" w:rsidR="001E0A28" w:rsidRPr="00910E13" w:rsidRDefault="001E0A28" w:rsidP="001E0A28">
      <w:pPr>
        <w:spacing w:after="120"/>
        <w:ind w:left="1985" w:hanging="1985"/>
        <w:rPr>
          <w:rFonts w:ascii="Arial" w:eastAsia="MS Mincho" w:hAnsi="Arial" w:cs="Arial"/>
          <w:b/>
          <w:sz w:val="22"/>
          <w:lang w:val="en-US"/>
        </w:rPr>
      </w:pPr>
    </w:p>
    <w:p w14:paraId="77616DC8" w14:textId="53EE040E" w:rsidR="00C24D2F" w:rsidRPr="00910E1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910E13">
        <w:rPr>
          <w:rFonts w:ascii="Arial" w:eastAsia="MS Mincho" w:hAnsi="Arial" w:cs="Arial"/>
          <w:b/>
          <w:color w:val="000000"/>
          <w:sz w:val="22"/>
          <w:lang w:val="en-US"/>
        </w:rPr>
        <w:t xml:space="preserve">Agenda </w:t>
      </w:r>
      <w:r w:rsidR="007D19B7" w:rsidRPr="00910E13">
        <w:rPr>
          <w:rFonts w:ascii="Arial" w:eastAsia="MS Mincho" w:hAnsi="Arial" w:cs="Arial"/>
          <w:b/>
          <w:color w:val="000000"/>
          <w:sz w:val="22"/>
          <w:lang w:val="en-US"/>
        </w:rPr>
        <w:t>item</w:t>
      </w:r>
      <w:r w:rsidRPr="00910E13">
        <w:rPr>
          <w:rFonts w:ascii="Arial" w:eastAsia="MS Mincho" w:hAnsi="Arial" w:cs="Arial"/>
          <w:b/>
          <w:color w:val="000000"/>
          <w:sz w:val="22"/>
          <w:lang w:val="en-US"/>
        </w:rPr>
        <w:t>:</w:t>
      </w:r>
      <w:r w:rsidRPr="00910E13">
        <w:rPr>
          <w:rFonts w:ascii="Arial" w:eastAsia="MS Mincho" w:hAnsi="Arial" w:cs="Arial"/>
          <w:b/>
          <w:color w:val="000000"/>
          <w:sz w:val="22"/>
          <w:lang w:val="en-US"/>
        </w:rPr>
        <w:tab/>
      </w:r>
      <w:r w:rsidRPr="00910E13">
        <w:rPr>
          <w:rFonts w:ascii="Arial" w:eastAsia="MS Mincho" w:hAnsi="Arial" w:cs="Arial"/>
          <w:b/>
          <w:color w:val="000000"/>
          <w:sz w:val="22"/>
          <w:lang w:val="en-US" w:eastAsia="ja-JP"/>
        </w:rPr>
        <w:tab/>
      </w:r>
      <w:r w:rsidR="00AF38D3" w:rsidRPr="00910E13">
        <w:rPr>
          <w:rFonts w:ascii="Arial" w:eastAsia="MS Mincho" w:hAnsi="Arial" w:cs="Arial"/>
          <w:b/>
          <w:color w:val="000000"/>
          <w:sz w:val="22"/>
          <w:lang w:val="en-US" w:eastAsia="ja-JP"/>
        </w:rPr>
        <w:tab/>
      </w:r>
      <w:r w:rsidR="00AF38D3" w:rsidRPr="00910E13">
        <w:rPr>
          <w:rFonts w:ascii="Arial" w:eastAsiaTheme="minorEastAsia" w:hAnsi="Arial" w:cs="Arial"/>
          <w:color w:val="000000"/>
          <w:sz w:val="22"/>
          <w:lang w:val="en-US" w:eastAsia="zh-CN"/>
        </w:rPr>
        <w:t>11.14.2</w:t>
      </w:r>
    </w:p>
    <w:p w14:paraId="6FBD8AE3" w14:textId="77777777" w:rsidR="00915D73" w:rsidRPr="00910E13" w:rsidRDefault="00915D73" w:rsidP="00915D73">
      <w:pPr>
        <w:spacing w:after="120"/>
        <w:ind w:left="1985" w:hanging="1985"/>
        <w:rPr>
          <w:rFonts w:ascii="Arial" w:hAnsi="Arial" w:cs="Arial"/>
          <w:color w:val="000000"/>
          <w:sz w:val="22"/>
          <w:lang w:val="en-US" w:eastAsia="zh-CN"/>
        </w:rPr>
      </w:pPr>
      <w:r w:rsidRPr="00910E13">
        <w:rPr>
          <w:rFonts w:ascii="Arial" w:eastAsia="MS Mincho" w:hAnsi="Arial" w:cs="Arial"/>
          <w:b/>
          <w:sz w:val="22"/>
          <w:lang w:val="en-US"/>
        </w:rPr>
        <w:t>Source:</w:t>
      </w:r>
      <w:r w:rsidRPr="00910E13">
        <w:rPr>
          <w:rFonts w:ascii="Arial" w:eastAsia="MS Mincho" w:hAnsi="Arial" w:cs="Arial"/>
          <w:b/>
          <w:sz w:val="22"/>
          <w:lang w:val="en-US"/>
        </w:rPr>
        <w:tab/>
      </w:r>
      <w:r w:rsidR="003F512B" w:rsidRPr="00910E13">
        <w:rPr>
          <w:rFonts w:ascii="Arial" w:hAnsi="Arial" w:cs="Arial"/>
          <w:color w:val="000000"/>
          <w:sz w:val="22"/>
          <w:lang w:val="en-US" w:eastAsia="zh-CN"/>
        </w:rPr>
        <w:t>Ericsson</w:t>
      </w:r>
    </w:p>
    <w:p w14:paraId="558622C5" w14:textId="24A5A667" w:rsidR="00915D73" w:rsidRPr="00910E13" w:rsidRDefault="00915D73" w:rsidP="00915D73">
      <w:pPr>
        <w:spacing w:after="120"/>
        <w:ind w:left="1985" w:hanging="1985"/>
        <w:rPr>
          <w:rFonts w:ascii="Arial" w:eastAsiaTheme="minorEastAsia" w:hAnsi="Arial" w:cs="Arial"/>
          <w:color w:val="000000"/>
          <w:sz w:val="22"/>
          <w:lang w:val="en-US" w:eastAsia="zh-CN"/>
        </w:rPr>
      </w:pPr>
      <w:r w:rsidRPr="00910E13">
        <w:rPr>
          <w:rFonts w:ascii="Arial" w:eastAsia="MS Mincho" w:hAnsi="Arial" w:cs="Arial"/>
          <w:b/>
          <w:color w:val="000000"/>
          <w:sz w:val="22"/>
          <w:lang w:val="en-US"/>
        </w:rPr>
        <w:t>Title:</w:t>
      </w:r>
      <w:r w:rsidRPr="00910E13">
        <w:rPr>
          <w:rFonts w:ascii="Arial" w:eastAsia="MS Mincho" w:hAnsi="Arial" w:cs="Arial"/>
          <w:b/>
          <w:color w:val="000000"/>
          <w:sz w:val="22"/>
          <w:lang w:val="en-US"/>
        </w:rPr>
        <w:tab/>
      </w:r>
      <w:r w:rsidR="00AF38D3" w:rsidRPr="00910E13">
        <w:rPr>
          <w:rFonts w:ascii="Arial" w:eastAsiaTheme="minorEastAsia" w:hAnsi="Arial" w:cs="Arial"/>
          <w:color w:val="000000"/>
          <w:sz w:val="22"/>
          <w:lang w:val="en-US" w:eastAsia="zh-CN"/>
        </w:rPr>
        <w:t xml:space="preserve">On accuracy improvement based on PRS/SRS </w:t>
      </w:r>
      <w:r w:rsidR="001049EB">
        <w:rPr>
          <w:rFonts w:ascii="Arial" w:eastAsiaTheme="minorEastAsia" w:hAnsi="Arial" w:cs="Arial"/>
          <w:color w:val="000000"/>
          <w:sz w:val="22"/>
          <w:lang w:val="en-US" w:eastAsia="zh-CN"/>
        </w:rPr>
        <w:t>bandwidth</w:t>
      </w:r>
      <w:r w:rsidR="00AF38D3" w:rsidRPr="00910E13">
        <w:rPr>
          <w:rFonts w:ascii="Arial" w:eastAsiaTheme="minorEastAsia" w:hAnsi="Arial" w:cs="Arial"/>
          <w:color w:val="000000"/>
          <w:sz w:val="22"/>
          <w:lang w:val="en-US" w:eastAsia="zh-CN"/>
        </w:rPr>
        <w:t xml:space="preserve"> aggregation </w:t>
      </w:r>
    </w:p>
    <w:p w14:paraId="15F0C698" w14:textId="77777777" w:rsidR="00915D73" w:rsidRPr="00910E13" w:rsidRDefault="00915D73" w:rsidP="00915D73">
      <w:pPr>
        <w:spacing w:after="120"/>
        <w:ind w:left="1985" w:hanging="1985"/>
        <w:rPr>
          <w:rFonts w:ascii="Arial" w:eastAsiaTheme="minorEastAsia" w:hAnsi="Arial" w:cs="Arial"/>
          <w:sz w:val="22"/>
          <w:lang w:val="en-US" w:eastAsia="zh-CN"/>
        </w:rPr>
      </w:pPr>
      <w:r w:rsidRPr="00910E13">
        <w:rPr>
          <w:rFonts w:ascii="Arial" w:eastAsia="MS Mincho" w:hAnsi="Arial" w:cs="Arial"/>
          <w:b/>
          <w:color w:val="000000"/>
          <w:sz w:val="22"/>
          <w:lang w:val="en-US"/>
        </w:rPr>
        <w:t>Document for:</w:t>
      </w:r>
      <w:r w:rsidRPr="00910E13">
        <w:rPr>
          <w:rFonts w:ascii="Arial" w:eastAsia="MS Mincho" w:hAnsi="Arial" w:cs="Arial"/>
          <w:b/>
          <w:color w:val="000000"/>
          <w:sz w:val="22"/>
          <w:lang w:val="en-US"/>
        </w:rPr>
        <w:tab/>
      </w:r>
      <w:r w:rsidR="003F512B" w:rsidRPr="00910E13">
        <w:rPr>
          <w:rFonts w:ascii="Arial" w:eastAsiaTheme="minorEastAsia" w:hAnsi="Arial" w:cs="Arial"/>
          <w:color w:val="000000"/>
          <w:sz w:val="22"/>
          <w:lang w:val="en-US" w:eastAsia="zh-CN"/>
        </w:rPr>
        <w:t>Discussion</w:t>
      </w:r>
    </w:p>
    <w:p w14:paraId="50FF85B1" w14:textId="3F3F1699" w:rsidR="00AE7BAF" w:rsidRPr="00910E13" w:rsidRDefault="00915D73" w:rsidP="00635192">
      <w:pPr>
        <w:pStyle w:val="Heading1"/>
        <w:rPr>
          <w:lang w:val="en-US"/>
        </w:rPr>
      </w:pPr>
      <w:r w:rsidRPr="00910E13">
        <w:rPr>
          <w:lang w:val="en-US"/>
        </w:rPr>
        <w:t>Introduction</w:t>
      </w:r>
    </w:p>
    <w:p w14:paraId="7DAD6140" w14:textId="01A02229" w:rsidR="004F5977" w:rsidRPr="00910E13" w:rsidRDefault="00E2309C" w:rsidP="00E2309C">
      <w:pPr>
        <w:rPr>
          <w:lang w:val="en-US"/>
        </w:rPr>
      </w:pPr>
      <w:r w:rsidRPr="00910E13">
        <w:rPr>
          <w:lang w:val="en-US"/>
        </w:rPr>
        <w:t>RAN4#94e approved the revised SID on study on expanded and improved NR positioning with the following objectives</w:t>
      </w:r>
      <w:r w:rsidR="00CD7249">
        <w:rPr>
          <w:lang w:val="en-US"/>
        </w:rPr>
        <w:t xml:space="preserve"> [1]</w:t>
      </w:r>
      <w:r w:rsidRPr="00910E13">
        <w:rPr>
          <w:lang w:val="en-US"/>
        </w:rPr>
        <w:t>:</w:t>
      </w:r>
    </w:p>
    <w:p w14:paraId="109B940C" w14:textId="77777777" w:rsidR="00E2309C" w:rsidRPr="00AA7ADF" w:rsidRDefault="00E2309C" w:rsidP="00E2309C">
      <w:pPr>
        <w:numPr>
          <w:ilvl w:val="0"/>
          <w:numId w:val="29"/>
        </w:numPr>
        <w:overflowPunct w:val="0"/>
        <w:autoSpaceDE w:val="0"/>
        <w:autoSpaceDN w:val="0"/>
        <w:adjustRightInd w:val="0"/>
        <w:spacing w:after="0"/>
        <w:ind w:left="720"/>
        <w:textAlignment w:val="baseline"/>
        <w:rPr>
          <w:bCs/>
          <w:lang w:val="en-US"/>
        </w:rPr>
      </w:pPr>
      <w:r w:rsidRPr="00AA7ADF">
        <w:rPr>
          <w:b/>
          <w:u w:val="single"/>
          <w:lang w:val="en-US"/>
        </w:rPr>
        <w:t>Improved accuracy, integrity, and power efficiency</w:t>
      </w:r>
      <w:r w:rsidRPr="00AA7ADF">
        <w:rPr>
          <w:bCs/>
          <w:lang w:val="en-US"/>
        </w:rPr>
        <w:t>:</w:t>
      </w:r>
    </w:p>
    <w:p w14:paraId="3B8B4F4D" w14:textId="77777777" w:rsidR="00E2309C" w:rsidRPr="00AA7ADF" w:rsidRDefault="00E2309C" w:rsidP="00E2309C">
      <w:pPr>
        <w:numPr>
          <w:ilvl w:val="1"/>
          <w:numId w:val="29"/>
        </w:numPr>
        <w:overflowPunct w:val="0"/>
        <w:autoSpaceDE w:val="0"/>
        <w:autoSpaceDN w:val="0"/>
        <w:adjustRightInd w:val="0"/>
        <w:spacing w:after="0"/>
        <w:ind w:left="1440"/>
        <w:textAlignment w:val="baseline"/>
        <w:rPr>
          <w:bCs/>
          <w:lang w:val="en-US"/>
        </w:rPr>
      </w:pPr>
      <w:r w:rsidRPr="00AA7ADF">
        <w:rPr>
          <w:bCs/>
          <w:lang w:val="en-US"/>
        </w:rPr>
        <w:t>Study solutions for Integrity for RAT dependent positioning techniques [RAN2, RAN1]:</w:t>
      </w:r>
    </w:p>
    <w:p w14:paraId="6A6E06A0" w14:textId="77777777" w:rsidR="00E2309C" w:rsidRPr="00AA7ADF" w:rsidRDefault="00E2309C" w:rsidP="00E2309C">
      <w:pPr>
        <w:numPr>
          <w:ilvl w:val="2"/>
          <w:numId w:val="29"/>
        </w:numPr>
        <w:overflowPunct w:val="0"/>
        <w:autoSpaceDE w:val="0"/>
        <w:autoSpaceDN w:val="0"/>
        <w:adjustRightInd w:val="0"/>
        <w:spacing w:after="0"/>
        <w:ind w:left="2160"/>
        <w:textAlignment w:val="baseline"/>
        <w:rPr>
          <w:bCs/>
          <w:lang w:val="en-US"/>
        </w:rPr>
      </w:pPr>
      <w:r w:rsidRPr="00AA7ADF">
        <w:rPr>
          <w:bCs/>
          <w:lang w:val="en-US"/>
        </w:rPr>
        <w:t>Identify the error sources, [RAN1, RAN2].</w:t>
      </w:r>
    </w:p>
    <w:p w14:paraId="1A01172C" w14:textId="4FE2422F" w:rsidR="00E2309C" w:rsidRPr="00AA7ADF" w:rsidRDefault="00E2309C" w:rsidP="00E2309C">
      <w:pPr>
        <w:numPr>
          <w:ilvl w:val="2"/>
          <w:numId w:val="29"/>
        </w:numPr>
        <w:overflowPunct w:val="0"/>
        <w:autoSpaceDE w:val="0"/>
        <w:autoSpaceDN w:val="0"/>
        <w:adjustRightInd w:val="0"/>
        <w:spacing w:after="0"/>
        <w:ind w:left="2160"/>
        <w:textAlignment w:val="baseline"/>
        <w:rPr>
          <w:bCs/>
          <w:lang w:val="en-US"/>
        </w:rPr>
      </w:pPr>
      <w:r w:rsidRPr="00AA7ADF">
        <w:rPr>
          <w:bCs/>
          <w:lang w:val="en-US"/>
        </w:rPr>
        <w:t xml:space="preserve">Study methodologies, procedures, </w:t>
      </w:r>
      <w:r w:rsidR="001A41B9" w:rsidRPr="00AA7ADF">
        <w:rPr>
          <w:bCs/>
          <w:lang w:val="en-US"/>
        </w:rPr>
        <w:t>signaling</w:t>
      </w:r>
      <w:r w:rsidRPr="00AA7ADF">
        <w:rPr>
          <w:bCs/>
          <w:lang w:val="en-US"/>
        </w:rPr>
        <w:t xml:space="preserve">, </w:t>
      </w:r>
      <w:proofErr w:type="spellStart"/>
      <w:r w:rsidRPr="00AA7ADF">
        <w:rPr>
          <w:bCs/>
          <w:lang w:val="en-US"/>
        </w:rPr>
        <w:t>etc</w:t>
      </w:r>
      <w:proofErr w:type="spellEnd"/>
      <w:r w:rsidRPr="00AA7ADF">
        <w:rPr>
          <w:bCs/>
          <w:lang w:val="en-US"/>
        </w:rPr>
        <w:t xml:space="preserve"> for determination of positioning integrity for both UE-based and UE-assisted positioning [RAN2]</w:t>
      </w:r>
    </w:p>
    <w:p w14:paraId="36E2ADCE" w14:textId="77777777" w:rsidR="00E2309C" w:rsidRPr="00AA7ADF" w:rsidRDefault="00E2309C" w:rsidP="00E2309C">
      <w:pPr>
        <w:numPr>
          <w:ilvl w:val="2"/>
          <w:numId w:val="29"/>
        </w:numPr>
        <w:overflowPunct w:val="0"/>
        <w:autoSpaceDE w:val="0"/>
        <w:autoSpaceDN w:val="0"/>
        <w:adjustRightInd w:val="0"/>
        <w:spacing w:after="0"/>
        <w:ind w:left="2160"/>
        <w:textAlignment w:val="baseline"/>
        <w:rPr>
          <w:bCs/>
          <w:lang w:val="en-US"/>
        </w:rPr>
      </w:pPr>
      <w:r w:rsidRPr="00AA7ADF">
        <w:rPr>
          <w:bCs/>
          <w:lang w:val="en-US"/>
        </w:rPr>
        <w:t>Focus on reuse of concepts and principles being developed for RAT-Independent GNSS positioning integrity, where possible.</w:t>
      </w:r>
    </w:p>
    <w:p w14:paraId="313281DE" w14:textId="0DD729F1" w:rsidR="00E2309C" w:rsidRPr="00AA7ADF" w:rsidRDefault="00E2309C" w:rsidP="00E2309C">
      <w:pPr>
        <w:numPr>
          <w:ilvl w:val="1"/>
          <w:numId w:val="29"/>
        </w:numPr>
        <w:overflowPunct w:val="0"/>
        <w:autoSpaceDE w:val="0"/>
        <w:autoSpaceDN w:val="0"/>
        <w:adjustRightInd w:val="0"/>
        <w:spacing w:after="0"/>
        <w:ind w:left="1440"/>
        <w:textAlignment w:val="baseline"/>
        <w:rPr>
          <w:bCs/>
          <w:i/>
          <w:iCs/>
          <w:highlight w:val="green"/>
          <w:u w:val="single"/>
          <w:lang w:val="en-US"/>
        </w:rPr>
      </w:pPr>
      <w:r w:rsidRPr="00AA7ADF">
        <w:rPr>
          <w:bCs/>
          <w:i/>
          <w:iCs/>
          <w:highlight w:val="green"/>
          <w:u w:val="single"/>
          <w:lang w:val="en-US"/>
        </w:rPr>
        <w:t xml:space="preserve">Study solutions for accuracy improvement based on PRS/SRS </w:t>
      </w:r>
      <w:r w:rsidR="001049EB" w:rsidRPr="00AA7ADF">
        <w:rPr>
          <w:bCs/>
          <w:i/>
          <w:iCs/>
          <w:highlight w:val="green"/>
          <w:u w:val="single"/>
          <w:lang w:val="en-US"/>
        </w:rPr>
        <w:t>bandwidth</w:t>
      </w:r>
      <w:r w:rsidRPr="00AA7ADF">
        <w:rPr>
          <w:bCs/>
          <w:i/>
          <w:iCs/>
          <w:highlight w:val="green"/>
          <w:u w:val="single"/>
          <w:lang w:val="en-US"/>
        </w:rPr>
        <w:t xml:space="preserve"> aggregation for intra-band carriers considering </w:t>
      </w:r>
      <w:proofErr w:type="gramStart"/>
      <w:r w:rsidRPr="00AA7ADF">
        <w:rPr>
          <w:bCs/>
          <w:i/>
          <w:iCs/>
          <w:highlight w:val="green"/>
          <w:u w:val="single"/>
          <w:lang w:val="en-US"/>
        </w:rPr>
        <w:t>e.g.</w:t>
      </w:r>
      <w:proofErr w:type="gramEnd"/>
      <w:r w:rsidRPr="00AA7ADF">
        <w:rPr>
          <w:bCs/>
          <w:i/>
          <w:iCs/>
          <w:highlight w:val="green"/>
          <w:u w:val="single"/>
          <w:lang w:val="en-US"/>
        </w:rPr>
        <w:t xml:space="preserve"> timing errors, phase coherency, frequency errors, power imbalance, </w:t>
      </w:r>
      <w:proofErr w:type="spellStart"/>
      <w:r w:rsidRPr="00AA7ADF">
        <w:rPr>
          <w:bCs/>
          <w:i/>
          <w:iCs/>
          <w:highlight w:val="green"/>
          <w:u w:val="single"/>
          <w:lang w:val="en-US"/>
        </w:rPr>
        <w:t>etc</w:t>
      </w:r>
      <w:proofErr w:type="spellEnd"/>
      <w:r w:rsidRPr="00AA7ADF">
        <w:rPr>
          <w:bCs/>
          <w:i/>
          <w:iCs/>
          <w:highlight w:val="green"/>
          <w:u w:val="single"/>
          <w:lang w:val="en-US"/>
        </w:rPr>
        <w:t xml:space="preserve"> [RAN4]</w:t>
      </w:r>
      <w:r w:rsidR="00BF3BC1" w:rsidRPr="00AA7ADF">
        <w:rPr>
          <w:bCs/>
          <w:i/>
          <w:iCs/>
          <w:highlight w:val="green"/>
          <w:u w:val="single"/>
          <w:lang w:val="en-US"/>
        </w:rPr>
        <w:t>.</w:t>
      </w:r>
    </w:p>
    <w:p w14:paraId="79ACE6CE" w14:textId="77777777" w:rsidR="00E2309C" w:rsidRPr="00AA7ADF" w:rsidRDefault="00E2309C" w:rsidP="00E2309C">
      <w:pPr>
        <w:numPr>
          <w:ilvl w:val="1"/>
          <w:numId w:val="29"/>
        </w:numPr>
        <w:overflowPunct w:val="0"/>
        <w:autoSpaceDE w:val="0"/>
        <w:autoSpaceDN w:val="0"/>
        <w:adjustRightInd w:val="0"/>
        <w:spacing w:after="0"/>
        <w:ind w:left="1440"/>
        <w:textAlignment w:val="baseline"/>
        <w:rPr>
          <w:bCs/>
          <w:lang w:val="en-US"/>
        </w:rPr>
      </w:pPr>
      <w:r w:rsidRPr="00AA7ADF">
        <w:rPr>
          <w:bCs/>
          <w:lang w:val="en-US"/>
        </w:rPr>
        <w:t>Study solutions for accuracy improvement based on NR carrier phase measurements [RAN1, RAN4]</w:t>
      </w:r>
    </w:p>
    <w:p w14:paraId="791F5FC6" w14:textId="77777777" w:rsidR="00E2309C" w:rsidRPr="00AA7ADF" w:rsidRDefault="00E2309C" w:rsidP="00E2309C">
      <w:pPr>
        <w:numPr>
          <w:ilvl w:val="2"/>
          <w:numId w:val="29"/>
        </w:numPr>
        <w:overflowPunct w:val="0"/>
        <w:autoSpaceDE w:val="0"/>
        <w:autoSpaceDN w:val="0"/>
        <w:adjustRightInd w:val="0"/>
        <w:spacing w:after="0"/>
        <w:ind w:left="2160"/>
        <w:textAlignment w:val="baseline"/>
        <w:rPr>
          <w:bCs/>
          <w:lang w:val="en-US"/>
        </w:rPr>
      </w:pPr>
      <w:r w:rsidRPr="00AA7ADF">
        <w:rPr>
          <w:bCs/>
          <w:lang w:val="en-US"/>
        </w:rPr>
        <w:t>Reference signals, physical layer measurements, physical layer procedures to enable positioning based on NR carrier phase measurements for both UE-based and UE-assisted positioning [RAN1]</w:t>
      </w:r>
    </w:p>
    <w:p w14:paraId="43AA2158" w14:textId="77269017" w:rsidR="00E2309C" w:rsidRPr="00AA7ADF" w:rsidRDefault="00E2309C" w:rsidP="00E2309C">
      <w:pPr>
        <w:numPr>
          <w:ilvl w:val="2"/>
          <w:numId w:val="29"/>
        </w:numPr>
        <w:overflowPunct w:val="0"/>
        <w:autoSpaceDE w:val="0"/>
        <w:autoSpaceDN w:val="0"/>
        <w:adjustRightInd w:val="0"/>
        <w:spacing w:after="0"/>
        <w:ind w:left="2160"/>
        <w:textAlignment w:val="baseline"/>
        <w:rPr>
          <w:bCs/>
          <w:lang w:val="en-US"/>
        </w:rPr>
      </w:pPr>
      <w:r w:rsidRPr="00AA7ADF">
        <w:rPr>
          <w:bCs/>
          <w:lang w:val="en-US"/>
        </w:rPr>
        <w:t>Focus on reuse of existing PRS and SRS, with new reference signals only considered if found necessary</w:t>
      </w:r>
      <w:r w:rsidR="00C10618" w:rsidRPr="00AA7ADF">
        <w:rPr>
          <w:bCs/>
          <w:lang w:val="en-US"/>
        </w:rPr>
        <w:t>.</w:t>
      </w:r>
    </w:p>
    <w:p w14:paraId="70CE14E4" w14:textId="77777777" w:rsidR="00E2309C" w:rsidRPr="00AA7ADF" w:rsidRDefault="00E2309C" w:rsidP="00E2309C">
      <w:pPr>
        <w:numPr>
          <w:ilvl w:val="1"/>
          <w:numId w:val="29"/>
        </w:numPr>
        <w:overflowPunct w:val="0"/>
        <w:autoSpaceDE w:val="0"/>
        <w:autoSpaceDN w:val="0"/>
        <w:adjustRightInd w:val="0"/>
        <w:spacing w:after="0"/>
        <w:ind w:left="1440"/>
        <w:textAlignment w:val="baseline"/>
        <w:rPr>
          <w:bCs/>
          <w:lang w:val="en-US"/>
        </w:rPr>
      </w:pPr>
      <w:r w:rsidRPr="00AA7ADF">
        <w:rPr>
          <w:bCs/>
          <w:lang w:val="en-U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5AA3A523" w14:textId="77777777" w:rsidR="00E2309C" w:rsidRPr="00AA7ADF" w:rsidRDefault="00E2309C" w:rsidP="001360C0">
      <w:pPr>
        <w:numPr>
          <w:ilvl w:val="2"/>
          <w:numId w:val="29"/>
        </w:numPr>
        <w:overflowPunct w:val="0"/>
        <w:autoSpaceDE w:val="0"/>
        <w:autoSpaceDN w:val="0"/>
        <w:adjustRightInd w:val="0"/>
        <w:spacing w:after="0"/>
        <w:ind w:left="2160"/>
        <w:textAlignment w:val="baseline"/>
        <w:rPr>
          <w:bCs/>
          <w:lang w:val="en-US"/>
        </w:rPr>
      </w:pPr>
      <w:r w:rsidRPr="00AA7ADF">
        <w:rPr>
          <w:bCs/>
          <w:lang w:val="en-US"/>
        </w:rPr>
        <w:t>Study is limited to a single representative use case (use case 6 as defined TS 22.104). The choice of selected use case can be reviewed at the start of the study.</w:t>
      </w:r>
    </w:p>
    <w:p w14:paraId="0DABBDC3" w14:textId="227FDEDE" w:rsidR="00E2309C" w:rsidRPr="00AA7ADF" w:rsidRDefault="00E2309C" w:rsidP="001360C0">
      <w:pPr>
        <w:numPr>
          <w:ilvl w:val="2"/>
          <w:numId w:val="29"/>
        </w:numPr>
        <w:overflowPunct w:val="0"/>
        <w:autoSpaceDE w:val="0"/>
        <w:autoSpaceDN w:val="0"/>
        <w:adjustRightInd w:val="0"/>
        <w:spacing w:after="0"/>
        <w:ind w:left="2160"/>
        <w:textAlignment w:val="baseline"/>
        <w:rPr>
          <w:bCs/>
          <w:lang w:val="en-US"/>
        </w:rPr>
      </w:pPr>
      <w:r w:rsidRPr="00AA7ADF">
        <w:rPr>
          <w:bCs/>
          <w:lang w:val="en-US"/>
        </w:rPr>
        <w:t>Study is limited to enhancements to RRC_INACTIVE and/or RRC_IDLE state.</w:t>
      </w:r>
    </w:p>
    <w:p w14:paraId="6C41F2A0" w14:textId="77777777" w:rsidR="00BF3BC1" w:rsidRPr="00910E13" w:rsidRDefault="00BF3BC1" w:rsidP="00BF3BC1">
      <w:pPr>
        <w:overflowPunct w:val="0"/>
        <w:autoSpaceDE w:val="0"/>
        <w:autoSpaceDN w:val="0"/>
        <w:adjustRightInd w:val="0"/>
        <w:spacing w:after="0"/>
        <w:textAlignment w:val="baseline"/>
        <w:rPr>
          <w:bCs/>
          <w:lang w:val="en-US"/>
        </w:rPr>
      </w:pPr>
    </w:p>
    <w:p w14:paraId="501B0460" w14:textId="33987D33" w:rsidR="00E2309C" w:rsidRPr="00910E13" w:rsidRDefault="00BF3BC1" w:rsidP="009B592C">
      <w:pPr>
        <w:overflowPunct w:val="0"/>
        <w:autoSpaceDE w:val="0"/>
        <w:autoSpaceDN w:val="0"/>
        <w:adjustRightInd w:val="0"/>
        <w:spacing w:after="0"/>
        <w:textAlignment w:val="baseline"/>
        <w:rPr>
          <w:lang w:val="en-US"/>
        </w:rPr>
      </w:pPr>
      <w:r w:rsidRPr="00910E13">
        <w:rPr>
          <w:bCs/>
          <w:lang w:val="en-US"/>
        </w:rPr>
        <w:t xml:space="preserve">In this contribution, we present our views on </w:t>
      </w:r>
      <w:r w:rsidR="00AA7ADF">
        <w:rPr>
          <w:bCs/>
          <w:lang w:val="en-US"/>
        </w:rPr>
        <w:t xml:space="preserve">different aspects of </w:t>
      </w:r>
      <w:r w:rsidRPr="00910E13">
        <w:rPr>
          <w:bCs/>
          <w:lang w:val="en-US"/>
        </w:rPr>
        <w:t xml:space="preserve">accuracy improvement based on </w:t>
      </w:r>
      <w:r w:rsidR="001049EB">
        <w:rPr>
          <w:bCs/>
          <w:lang w:val="en-US"/>
        </w:rPr>
        <w:t>bandwidth</w:t>
      </w:r>
      <w:r w:rsidRPr="00910E13">
        <w:rPr>
          <w:bCs/>
          <w:lang w:val="en-US"/>
        </w:rPr>
        <w:t xml:space="preserve"> aggregation for intra-band carriers.</w:t>
      </w:r>
    </w:p>
    <w:p w14:paraId="2FF5F4C8" w14:textId="31D79BA8" w:rsidR="00BF3BC1" w:rsidRDefault="00BF3BC1" w:rsidP="00DF43DA">
      <w:pPr>
        <w:pStyle w:val="Heading1"/>
        <w:rPr>
          <w:bCs/>
          <w:lang w:val="en-US"/>
        </w:rPr>
      </w:pPr>
      <w:r w:rsidRPr="00910E13">
        <w:rPr>
          <w:bCs/>
          <w:lang w:val="en-US"/>
        </w:rPr>
        <w:t>Discussion</w:t>
      </w:r>
    </w:p>
    <w:p w14:paraId="00F19D01" w14:textId="15DCFD2B" w:rsidR="006875AF" w:rsidRPr="00910E13" w:rsidRDefault="006875AF" w:rsidP="006875AF">
      <w:pPr>
        <w:rPr>
          <w:lang w:val="en-US"/>
        </w:rPr>
      </w:pPr>
      <w:r w:rsidRPr="00910E13">
        <w:rPr>
          <w:lang w:val="en-US"/>
        </w:rPr>
        <w:t xml:space="preserve">To elaborate on different aspects of PRS </w:t>
      </w:r>
      <w:r w:rsidR="001049EB">
        <w:rPr>
          <w:lang w:val="en-US"/>
        </w:rPr>
        <w:t>bandwidth</w:t>
      </w:r>
      <w:r w:rsidRPr="00910E13">
        <w:rPr>
          <w:lang w:val="en-US"/>
        </w:rPr>
        <w:t xml:space="preserve"> aggregation a single path channel model in frequency domain </w:t>
      </w:r>
      <w:r w:rsidR="00957C05">
        <w:rPr>
          <w:lang w:val="en-US"/>
        </w:rPr>
        <w:t>is considered</w:t>
      </w:r>
      <w:r w:rsidRPr="00910E13">
        <w:rPr>
          <w:lang w:val="en-US"/>
        </w:rPr>
        <w:t>:</w:t>
      </w:r>
    </w:p>
    <w:p w14:paraId="5020EFBA" w14:textId="28F58654" w:rsidR="006875AF" w:rsidRPr="00957C05" w:rsidRDefault="00000000" w:rsidP="006875AF">
      <w:pPr>
        <w:pStyle w:val="Caption"/>
        <w:rPr>
          <w:b w:val="0"/>
          <w:bCs/>
          <w:lang w:val="en-US"/>
        </w:rPr>
      </w:pPr>
      <m:oMathPara>
        <m:oMathParaPr>
          <m:jc m:val="left"/>
        </m:oMathParaPr>
        <m:oMath>
          <m:sSub>
            <m:sSubPr>
              <m:ctrlPr>
                <w:rPr>
                  <w:rFonts w:ascii="Cambria Math" w:hAnsi="Cambria Math"/>
                  <w:b w:val="0"/>
                  <w:bCs/>
                  <w:i/>
                  <w:lang w:val="en-US"/>
                </w:rPr>
              </m:ctrlPr>
            </m:sSubPr>
            <m:e>
              <m:acc>
                <m:accPr>
                  <m:ctrlPr>
                    <w:rPr>
                      <w:rFonts w:ascii="Cambria Math" w:hAnsi="Cambria Math"/>
                      <w:b w:val="0"/>
                      <w:bCs/>
                      <w:i/>
                      <w:lang w:val="en-US"/>
                    </w:rPr>
                  </m:ctrlPr>
                </m:accPr>
                <m:e>
                  <m:r>
                    <m:rPr>
                      <m:sty m:val="bi"/>
                    </m:rPr>
                    <w:rPr>
                      <w:rFonts w:ascii="Cambria Math" w:hAnsi="Cambria Math"/>
                      <w:lang w:val="en-US"/>
                    </w:rPr>
                    <m:t>c</m:t>
                  </m:r>
                </m:e>
              </m:acc>
            </m:e>
            <m:sub>
              <m:r>
                <m:rPr>
                  <m:sty m:val="bi"/>
                </m:rPr>
                <w:rPr>
                  <w:rFonts w:ascii="Cambria Math" w:hAnsi="Cambria Math"/>
                  <w:lang w:val="en-US"/>
                </w:rPr>
                <m:t>l</m:t>
              </m:r>
            </m:sub>
          </m:sSub>
          <m:d>
            <m:dPr>
              <m:ctrlPr>
                <w:rPr>
                  <w:rFonts w:ascii="Cambria Math" w:hAnsi="Cambria Math"/>
                  <w:b w:val="0"/>
                  <w:bCs/>
                  <w:i/>
                  <w:lang w:val="en-US"/>
                </w:rPr>
              </m:ctrlPr>
            </m:dPr>
            <m:e>
              <m:r>
                <m:rPr>
                  <m:sty m:val="bi"/>
                </m:rPr>
                <w:rPr>
                  <w:rFonts w:ascii="Cambria Math" w:hAnsi="Cambria Math"/>
                  <w:lang w:val="en-US"/>
                </w:rPr>
                <m:t>j</m:t>
              </m:r>
            </m:e>
          </m:d>
          <m:r>
            <m:rPr>
              <m:sty m:val="bi"/>
            </m:rPr>
            <w:rPr>
              <w:rFonts w:ascii="Cambria Math" w:hAnsi="Cambria Math"/>
              <w:lang w:val="en-US"/>
            </w:rPr>
            <m:t>=</m:t>
          </m:r>
          <m:rad>
            <m:radPr>
              <m:degHide m:val="1"/>
              <m:ctrlPr>
                <w:rPr>
                  <w:rFonts w:ascii="Cambria Math" w:hAnsi="Cambria Math"/>
                  <w:b w:val="0"/>
                  <w:bCs/>
                  <w:i/>
                  <w:lang w:val="en-US"/>
                </w:rPr>
              </m:ctrlPr>
            </m:radPr>
            <m:deg/>
            <m:e>
              <m:f>
                <m:fPr>
                  <m:ctrlPr>
                    <w:rPr>
                      <w:rFonts w:ascii="Cambria Math" w:hAnsi="Cambria Math"/>
                      <w:b w:val="0"/>
                      <w:bCs/>
                      <w:i/>
                      <w:lang w:val="en-US"/>
                    </w:rPr>
                  </m:ctrlPr>
                </m:fPr>
                <m:num>
                  <m:sSub>
                    <m:sSubPr>
                      <m:ctrlPr>
                        <w:rPr>
                          <w:rFonts w:ascii="Cambria Math" w:hAnsi="Cambria Math"/>
                          <w:b w:val="0"/>
                          <w:bCs/>
                          <w:i/>
                          <w:lang w:val="en-US"/>
                        </w:rPr>
                      </m:ctrlPr>
                    </m:sSubPr>
                    <m:e>
                      <m:r>
                        <m:rPr>
                          <m:sty m:val="bi"/>
                        </m:rPr>
                        <w:rPr>
                          <w:rFonts w:ascii="Cambria Math" w:hAnsi="Cambria Math"/>
                          <w:lang w:val="en-US"/>
                        </w:rPr>
                        <m:t>P</m:t>
                      </m:r>
                    </m:e>
                    <m:sub>
                      <m:r>
                        <m:rPr>
                          <m:sty m:val="bi"/>
                        </m:rPr>
                        <w:rPr>
                          <w:rFonts w:ascii="Cambria Math" w:hAnsi="Cambria Math"/>
                          <w:lang w:val="en-US"/>
                        </w:rPr>
                        <m:t>TX</m:t>
                      </m:r>
                    </m:sub>
                  </m:sSub>
                  <m:r>
                    <m:rPr>
                      <m:sty m:val="bi"/>
                    </m:rPr>
                    <w:rPr>
                      <w:rFonts w:ascii="Cambria Math" w:hAnsi="Cambria Math"/>
                      <w:lang w:val="en-US"/>
                    </w:rPr>
                    <m:t>G</m:t>
                  </m:r>
                </m:num>
                <m:den>
                  <m:sSub>
                    <m:sSubPr>
                      <m:ctrlPr>
                        <w:rPr>
                          <w:rFonts w:ascii="Cambria Math" w:hAnsi="Cambria Math"/>
                          <w:b w:val="0"/>
                          <w:bCs/>
                          <w:i/>
                          <w:lang w:val="en-US"/>
                        </w:rPr>
                      </m:ctrlPr>
                    </m:sSubPr>
                    <m:e>
                      <m:r>
                        <m:rPr>
                          <m:sty m:val="bi"/>
                        </m:rPr>
                        <w:rPr>
                          <w:rFonts w:ascii="Cambria Math" w:hAnsi="Cambria Math"/>
                          <w:lang w:val="en-US"/>
                        </w:rPr>
                        <m:t>n</m:t>
                      </m:r>
                    </m:e>
                    <m:sub>
                      <m:r>
                        <m:rPr>
                          <m:sty m:val="bi"/>
                        </m:rPr>
                        <w:rPr>
                          <w:rFonts w:ascii="Cambria Math" w:hAnsi="Cambria Math"/>
                          <w:lang w:val="en-US"/>
                        </w:rPr>
                        <m:t>l</m:t>
                      </m:r>
                    </m:sub>
                  </m:sSub>
                </m:den>
              </m:f>
            </m:e>
          </m:rad>
          <m:func>
            <m:funcPr>
              <m:ctrlPr>
                <w:rPr>
                  <w:rFonts w:ascii="Cambria Math" w:hAnsi="Cambria Math"/>
                  <w:b w:val="0"/>
                  <w:bCs/>
                  <w:i/>
                  <w:lang w:val="en-US"/>
                </w:rPr>
              </m:ctrlPr>
            </m:funcPr>
            <m:fName>
              <m:r>
                <m:rPr>
                  <m:sty m:val="b"/>
                </m:rPr>
                <w:rPr>
                  <w:rFonts w:ascii="Cambria Math" w:hAnsi="Cambria Math"/>
                  <w:lang w:val="en-US"/>
                </w:rPr>
                <m:t>exp</m:t>
              </m:r>
            </m:fName>
            <m:e>
              <m:d>
                <m:dPr>
                  <m:begChr m:val="{"/>
                  <m:endChr m:val="}"/>
                  <m:ctrlPr>
                    <w:rPr>
                      <w:rFonts w:ascii="Cambria Math" w:hAnsi="Cambria Math"/>
                      <w:b w:val="0"/>
                      <w:bCs/>
                      <w:i/>
                      <w:lang w:val="en-US"/>
                    </w:rPr>
                  </m:ctrlPr>
                </m:dPr>
                <m:e>
                  <m:r>
                    <m:rPr>
                      <m:sty m:val="bi"/>
                    </m:rPr>
                    <w:rPr>
                      <w:rFonts w:ascii="Cambria Math" w:hAnsi="Cambria Math"/>
                      <w:lang w:val="en-US"/>
                    </w:rPr>
                    <m:t>i</m:t>
                  </m:r>
                  <m:sSub>
                    <m:sSubPr>
                      <m:ctrlPr>
                        <w:rPr>
                          <w:rFonts w:ascii="Cambria Math" w:hAnsi="Cambria Math"/>
                          <w:b w:val="0"/>
                          <w:bCs/>
                          <w:i/>
                          <w:lang w:val="en-US"/>
                        </w:rPr>
                      </m:ctrlPr>
                    </m:sSubPr>
                    <m:e>
                      <m:r>
                        <m:rPr>
                          <m:sty m:val="bi"/>
                        </m:rPr>
                        <w:rPr>
                          <w:rFonts w:ascii="Cambria Math" w:hAnsi="Cambria Math"/>
                          <w:lang w:val="en-US"/>
                        </w:rPr>
                        <m:t>∅</m:t>
                      </m:r>
                    </m:e>
                    <m:sub>
                      <m:r>
                        <m:rPr>
                          <m:sty m:val="bi"/>
                        </m:rPr>
                        <w:rPr>
                          <w:rFonts w:ascii="Cambria Math" w:hAnsi="Cambria Math"/>
                          <w:lang w:val="en-US"/>
                        </w:rPr>
                        <m:t>l</m:t>
                      </m:r>
                    </m:sub>
                  </m:sSub>
                  <m:r>
                    <m:rPr>
                      <m:sty m:val="bi"/>
                    </m:rPr>
                    <w:rPr>
                      <w:rFonts w:ascii="Cambria Math" w:hAnsi="Cambria Math"/>
                      <w:lang w:val="en-US"/>
                    </w:rPr>
                    <m:t>-2</m:t>
                  </m:r>
                  <m:r>
                    <m:rPr>
                      <m:sty m:val="bi"/>
                    </m:rPr>
                    <w:rPr>
                      <w:rFonts w:ascii="Cambria Math" w:hAnsi="Cambria Math"/>
                      <w:lang w:val="en-US"/>
                    </w:rPr>
                    <m:t>πi</m:t>
                  </m:r>
                  <m:d>
                    <m:dPr>
                      <m:ctrlPr>
                        <w:rPr>
                          <w:rFonts w:ascii="Cambria Math" w:hAnsi="Cambria Math"/>
                          <w:b w:val="0"/>
                          <w:bCs/>
                          <w:i/>
                          <w:lang w:val="en-US"/>
                        </w:rPr>
                      </m:ctrlPr>
                    </m:dPr>
                    <m:e>
                      <m:sSub>
                        <m:sSubPr>
                          <m:ctrlPr>
                            <w:rPr>
                              <w:rFonts w:ascii="Cambria Math" w:hAnsi="Cambria Math"/>
                              <w:b w:val="0"/>
                              <w:bCs/>
                              <w:i/>
                              <w:lang w:val="en-US"/>
                            </w:rPr>
                          </m:ctrlPr>
                        </m:sSubPr>
                        <m:e>
                          <m:r>
                            <m:rPr>
                              <m:sty m:val="bi"/>
                            </m:rPr>
                            <w:rPr>
                              <w:rFonts w:ascii="Cambria Math" w:hAnsi="Cambria Math"/>
                              <w:lang w:val="en-US"/>
                            </w:rPr>
                            <m:t>f</m:t>
                          </m:r>
                        </m:e>
                        <m:sub>
                          <m:r>
                            <m:rPr>
                              <m:sty m:val="bi"/>
                            </m:rPr>
                            <w:rPr>
                              <w:rFonts w:ascii="Cambria Math" w:hAnsi="Cambria Math"/>
                              <w:lang w:val="en-US"/>
                            </w:rPr>
                            <m:t>SCS</m:t>
                          </m:r>
                        </m:sub>
                      </m:sSub>
                      <m:r>
                        <m:rPr>
                          <m:sty m:val="bi"/>
                        </m:rPr>
                        <w:rPr>
                          <w:rFonts w:ascii="Cambria Math" w:hAnsi="Cambria Math"/>
                          <w:lang w:val="en-US"/>
                        </w:rPr>
                        <m:t>j-</m:t>
                      </m:r>
                      <m:sSub>
                        <m:sSubPr>
                          <m:ctrlPr>
                            <w:rPr>
                              <w:rFonts w:ascii="Cambria Math" w:hAnsi="Cambria Math"/>
                              <w:b w:val="0"/>
                              <w:bCs/>
                              <w:i/>
                              <w:lang w:val="en-US"/>
                            </w:rPr>
                          </m:ctrlPr>
                        </m:sSubPr>
                        <m:e>
                          <m:r>
                            <m:rPr>
                              <m:sty m:val="bi"/>
                            </m:rPr>
                            <w:rPr>
                              <w:rFonts w:ascii="Cambria Math" w:hAnsi="Cambria Math"/>
                              <w:lang w:val="en-US"/>
                            </w:rPr>
                            <m:t>f</m:t>
                          </m:r>
                        </m:e>
                        <m:sub>
                          <m:r>
                            <m:rPr>
                              <m:sty m:val="bi"/>
                            </m:rPr>
                            <w:rPr>
                              <w:rFonts w:ascii="Cambria Math" w:hAnsi="Cambria Math"/>
                              <w:lang w:val="en-US"/>
                            </w:rPr>
                            <m:t>l</m:t>
                          </m:r>
                        </m:sub>
                      </m:sSub>
                    </m:e>
                  </m:d>
                  <m:r>
                    <m:rPr>
                      <m:sty m:val="bi"/>
                    </m:rPr>
                    <w:rPr>
                      <w:rFonts w:ascii="Cambria Math" w:hAnsi="Cambria Math"/>
                      <w:lang w:val="en-US"/>
                    </w:rPr>
                    <m:t>δ</m:t>
                  </m:r>
                </m:e>
              </m:d>
            </m:e>
          </m:func>
          <m:r>
            <m:rPr>
              <m:sty m:val="bi"/>
            </m:rPr>
            <w:rPr>
              <w:rFonts w:ascii="Cambria Math" w:hAnsi="Cambria Math"/>
              <w:lang w:val="en-US"/>
            </w:rPr>
            <m:t>+</m:t>
          </m:r>
          <m:sSub>
            <m:sSubPr>
              <m:ctrlPr>
                <w:rPr>
                  <w:rFonts w:ascii="Cambria Math" w:hAnsi="Cambria Math"/>
                  <w:b w:val="0"/>
                  <w:bCs/>
                  <w:i/>
                  <w:lang w:val="en-US"/>
                </w:rPr>
              </m:ctrlPr>
            </m:sSubPr>
            <m:e>
              <m:acc>
                <m:accPr>
                  <m:ctrlPr>
                    <w:rPr>
                      <w:rFonts w:ascii="Cambria Math" w:hAnsi="Cambria Math"/>
                      <w:b w:val="0"/>
                      <w:bCs/>
                      <w:i/>
                      <w:lang w:val="en-US"/>
                    </w:rPr>
                  </m:ctrlPr>
                </m:accPr>
                <m:e>
                  <m:r>
                    <m:rPr>
                      <m:sty m:val="bi"/>
                    </m:rPr>
                    <w:rPr>
                      <w:rFonts w:ascii="Cambria Math" w:hAnsi="Cambria Math"/>
                      <w:lang w:val="en-US"/>
                    </w:rPr>
                    <m:t>N</m:t>
                  </m:r>
                </m:e>
              </m:acc>
            </m:e>
            <m:sub>
              <m:r>
                <m:rPr>
                  <m:sty m:val="bi"/>
                </m:rPr>
                <w:rPr>
                  <w:rFonts w:ascii="Cambria Math" w:hAnsi="Cambria Math"/>
                  <w:lang w:val="en-US"/>
                </w:rPr>
                <m:t>l</m:t>
              </m:r>
            </m:sub>
          </m:sSub>
          <m:d>
            <m:dPr>
              <m:ctrlPr>
                <w:rPr>
                  <w:rFonts w:ascii="Cambria Math" w:hAnsi="Cambria Math"/>
                  <w:b w:val="0"/>
                  <w:bCs/>
                  <w:i/>
                  <w:lang w:val="en-US"/>
                </w:rPr>
              </m:ctrlPr>
            </m:dPr>
            <m:e>
              <m:r>
                <m:rPr>
                  <m:sty m:val="bi"/>
                </m:rPr>
                <w:rPr>
                  <w:rFonts w:ascii="Cambria Math" w:hAnsi="Cambria Math"/>
                  <w:lang w:val="en-US"/>
                </w:rPr>
                <m:t>j</m:t>
              </m:r>
            </m:e>
          </m:d>
          <m:r>
            <m:rPr>
              <m:sty m:val="bi"/>
            </m:rPr>
            <w:rPr>
              <w:rFonts w:ascii="Cambria Math" w:hAnsi="Cambria Math"/>
              <w:lang w:val="en-US"/>
            </w:rPr>
            <m:t>,                                                                     (1)</m:t>
          </m:r>
        </m:oMath>
      </m:oMathPara>
    </w:p>
    <w:p w14:paraId="1A998D89" w14:textId="60CDF8B6" w:rsidR="006875AF" w:rsidRPr="00910E13" w:rsidRDefault="006875AF" w:rsidP="006875AF">
      <w:pPr>
        <w:rPr>
          <w:lang w:val="en-US"/>
        </w:rPr>
      </w:pPr>
      <w:r w:rsidRPr="00910E13">
        <w:rPr>
          <w:lang w:val="en-US"/>
        </w:rPr>
        <w:t xml:space="preserve">where </w:t>
      </w:r>
      <m:oMath>
        <m:r>
          <w:rPr>
            <w:rFonts w:ascii="Cambria Math" w:hAnsi="Cambria Math"/>
            <w:lang w:val="en-US"/>
          </w:rPr>
          <m:t>j=-</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l</m:t>
                </m:r>
              </m:sub>
            </m:sSub>
          </m:num>
          <m:den>
            <m:r>
              <w:rPr>
                <w:rFonts w:ascii="Cambria Math" w:hAnsi="Cambria Math"/>
                <w:lang w:val="en-US"/>
              </w:rPr>
              <m:t>2</m:t>
            </m:r>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l</m:t>
                </m:r>
              </m:sub>
            </m:sSub>
          </m:num>
          <m:den>
            <m:r>
              <w:rPr>
                <w:rFonts w:ascii="Cambria Math" w:hAnsi="Cambria Math"/>
                <w:lang w:val="en-US"/>
              </w:rPr>
              <m:t>2</m:t>
            </m:r>
          </m:den>
        </m:f>
        <m:r>
          <w:rPr>
            <w:rFonts w:ascii="Cambria Math" w:hAnsi="Cambria Math"/>
            <w:lang w:val="en-US"/>
          </w:rPr>
          <m:t>-1</m:t>
        </m:r>
      </m:oMath>
      <w:r w:rsidRPr="00910E13">
        <w:rPr>
          <w:lang w:val="en-US"/>
        </w:rPr>
        <w:t xml:space="preserve"> are subcarrier indices, </w:t>
      </w:r>
      <m:oMath>
        <m:r>
          <w:rPr>
            <w:rFonts w:ascii="Cambria Math" w:hAnsi="Cambria Math"/>
            <w:lang w:val="en-US"/>
          </w:rPr>
          <m:t>l=1,2,…,m</m:t>
        </m:r>
      </m:oMath>
      <w:r w:rsidRPr="00910E13">
        <w:rPr>
          <w:lang w:val="en-US"/>
        </w:rPr>
        <w:t xml:space="preserve"> are </w:t>
      </w:r>
      <w:r>
        <w:rPr>
          <w:lang w:val="en-US"/>
        </w:rPr>
        <w:t>PFL</w:t>
      </w:r>
      <w:r w:rsidRPr="00910E13">
        <w:rPr>
          <w:lang w:val="en-US"/>
        </w:rPr>
        <w:t xml:space="preserve"> indices (each with different </w:t>
      </w:r>
      <w:r w:rsidR="008B072E">
        <w:rPr>
          <w:lang w:val="en-US"/>
        </w:rPr>
        <w:t xml:space="preserve">and </w:t>
      </w:r>
      <w:r w:rsidRPr="00910E13">
        <w:rPr>
          <w:lang w:val="en-US"/>
        </w:rPr>
        <w:t xml:space="preserve">unknown phase offset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l</m:t>
            </m:r>
          </m:sub>
        </m:sSub>
      </m:oMath>
      <w:r w:rsidRPr="00910E13">
        <w:rPr>
          <w:lang w:val="en-US"/>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SCS</m:t>
            </m:r>
          </m:sub>
        </m:sSub>
      </m:oMath>
      <w:r w:rsidRPr="00910E13">
        <w:rPr>
          <w:lang w:val="en-US"/>
        </w:rPr>
        <w:t xml:space="preserve"> is the subcarrier spacing,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l</m:t>
            </m:r>
          </m:sub>
        </m:sSub>
      </m:oMath>
      <w:r w:rsidRPr="00910E13">
        <w:rPr>
          <w:lang w:val="en-US"/>
        </w:rPr>
        <w:t xml:space="preserve"> is the carrier frequency of </w:t>
      </w:r>
      <w:r>
        <w:rPr>
          <w:lang w:val="en-US"/>
        </w:rPr>
        <w:t>PFL</w:t>
      </w:r>
      <w:r w:rsidRPr="00910E13">
        <w:rPr>
          <w:lang w:val="en-US"/>
        </w:rPr>
        <w:t xml:space="preserve"> </w:t>
      </w:r>
      <m:oMath>
        <m:r>
          <w:rPr>
            <w:rFonts w:ascii="Cambria Math" w:hAnsi="Cambria Math"/>
            <w:lang w:val="en-US"/>
          </w:rPr>
          <m:t>l</m:t>
        </m:r>
      </m:oMath>
      <w:r w:rsidRPr="00910E13">
        <w:rPr>
          <w:lang w:val="en-US"/>
        </w:rPr>
        <w:t xml:space="preserv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m:t>
            </m:r>
          </m:sub>
        </m:sSub>
      </m:oMath>
      <w:r w:rsidRPr="00910E13">
        <w:rPr>
          <w:lang w:val="en-US"/>
        </w:rPr>
        <w:t xml:space="preserve"> is the Tx power, </w:t>
      </w:r>
      <m:oMath>
        <m:r>
          <w:rPr>
            <w:rFonts w:ascii="Cambria Math" w:hAnsi="Cambria Math"/>
            <w:lang w:val="en-US"/>
          </w:rPr>
          <m:t>G</m:t>
        </m:r>
      </m:oMath>
      <w:r w:rsidRPr="00910E13">
        <w:rPr>
          <w:lang w:val="en-US"/>
        </w:rPr>
        <w:t xml:space="preserve"> is the (unknown) path gain, </w:t>
      </w:r>
      <m:oMath>
        <m:r>
          <w:rPr>
            <w:rFonts w:ascii="Cambria Math" w:hAnsi="Cambria Math"/>
            <w:lang w:val="en-US"/>
          </w:rPr>
          <m:t>δ</m:t>
        </m:r>
      </m:oMath>
      <w:r w:rsidRPr="00910E13">
        <w:rPr>
          <w:lang w:val="en-US"/>
        </w:rPr>
        <w:t xml:space="preserve"> is the (unknown) delay, and </w:t>
      </w:r>
      <m:oMath>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N</m:t>
                </m:r>
              </m:e>
            </m:acc>
          </m:e>
          <m:sub>
            <m:r>
              <w:rPr>
                <w:rFonts w:ascii="Cambria Math" w:hAnsi="Cambria Math"/>
                <w:lang w:val="en-US"/>
              </w:rPr>
              <m:t>l</m:t>
            </m:r>
          </m:sub>
        </m:sSub>
        <m:d>
          <m:dPr>
            <m:ctrlPr>
              <w:rPr>
                <w:rFonts w:ascii="Cambria Math" w:hAnsi="Cambria Math"/>
                <w:i/>
                <w:lang w:val="en-US"/>
              </w:rPr>
            </m:ctrlPr>
          </m:dPr>
          <m:e>
            <m:r>
              <w:rPr>
                <w:rFonts w:ascii="Cambria Math" w:hAnsi="Cambria Math"/>
                <w:lang w:val="en-US"/>
              </w:rPr>
              <m:t>j</m:t>
            </m:r>
          </m:e>
        </m:d>
      </m:oMath>
      <w:r w:rsidRPr="00910E13">
        <w:rPr>
          <w:lang w:val="en-US"/>
        </w:rPr>
        <w:t xml:space="preserve"> is i.i.d. complex Gaussian noise with zero mean and variance </w:t>
      </w:r>
      <m:oMath>
        <m:sSup>
          <m:sSupPr>
            <m:ctrlPr>
              <w:rPr>
                <w:rFonts w:ascii="Cambria Math" w:hAnsi="Cambria Math"/>
                <w:i/>
                <w:lang w:val="en-US"/>
              </w:rPr>
            </m:ctrlPr>
          </m:sSupPr>
          <m:e>
            <m:r>
              <w:rPr>
                <w:rFonts w:ascii="Cambria Math" w:hAnsi="Cambria Math"/>
                <w:lang w:val="en-US"/>
              </w:rPr>
              <m:t>σ</m:t>
            </m:r>
          </m:e>
          <m:sup>
            <m:r>
              <w:rPr>
                <w:rFonts w:ascii="Cambria Math" w:hAnsi="Cambria Math"/>
                <w:lang w:val="en-US"/>
              </w:rPr>
              <m:t>2</m:t>
            </m:r>
          </m:sup>
        </m:sSup>
      </m:oMath>
      <w:r w:rsidRPr="00910E13">
        <w:rPr>
          <w:lang w:val="en-US"/>
        </w:rPr>
        <w:t xml:space="preserve">. For each PFL index </w:t>
      </w:r>
      <m:oMath>
        <m:r>
          <w:rPr>
            <w:rFonts w:ascii="Cambria Math" w:hAnsi="Cambria Math"/>
            <w:lang w:val="en-US"/>
          </w:rPr>
          <m:t>l</m:t>
        </m:r>
      </m:oMath>
      <w:r w:rsidRPr="00910E13">
        <w:rPr>
          <w:lang w:val="en-US"/>
        </w:rPr>
        <w:t xml:space="preserve"> PRS is measured on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l</m:t>
            </m:r>
          </m:sub>
        </m:sSub>
      </m:oMath>
      <w:r w:rsidRPr="00910E13">
        <w:rPr>
          <w:lang w:val="en-US"/>
        </w:rPr>
        <w:t xml:space="preserve"> consecutive subcarriers, e.g., by combining </w:t>
      </w:r>
      <m:oMath>
        <m:r>
          <w:rPr>
            <w:rFonts w:ascii="Cambria Math" w:hAnsi="Cambria Math"/>
            <w:lang w:val="en-US"/>
          </w:rPr>
          <m:t>k</m:t>
        </m:r>
      </m:oMath>
      <w:r w:rsidRPr="00910E13">
        <w:rPr>
          <w:lang w:val="en-US"/>
        </w:rPr>
        <w:t xml:space="preserve"> consecutive symbols from a staggered </w:t>
      </w:r>
      <w:r w:rsidRPr="00910E13">
        <w:rPr>
          <w:i/>
          <w:iCs/>
          <w:lang w:val="en-US"/>
        </w:rPr>
        <w:t>comb-k</w:t>
      </w:r>
      <w:r w:rsidRPr="00910E13">
        <w:rPr>
          <w:lang w:val="en-US"/>
        </w:rPr>
        <w:t xml:space="preserve"> PRS. The </w:t>
      </w:r>
      <w:r w:rsidR="001049EB">
        <w:rPr>
          <w:lang w:val="en-US"/>
        </w:rPr>
        <w:t>bandwidth</w:t>
      </w:r>
      <w:r w:rsidRPr="00910E13">
        <w:rPr>
          <w:lang w:val="en-US"/>
        </w:rPr>
        <w:t xml:space="preserve"> allocated to PRS in PFL </w:t>
      </w:r>
      <m:oMath>
        <m:r>
          <w:rPr>
            <w:rFonts w:ascii="Cambria Math" w:hAnsi="Cambria Math"/>
            <w:lang w:val="en-US"/>
          </w:rPr>
          <m:t>l</m:t>
        </m:r>
      </m:oMath>
      <w:r w:rsidRPr="00910E13">
        <w:rPr>
          <w:lang w:val="en-US"/>
        </w:rPr>
        <w:t xml:space="preserve"> is then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l</m:t>
            </m:r>
          </m:sub>
        </m:sSub>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SCS</m:t>
            </m:r>
          </m:sub>
        </m:sSub>
      </m:oMath>
      <w:r w:rsidRPr="00910E13">
        <w:rPr>
          <w:lang w:val="en-US"/>
        </w:rPr>
        <w:t>.</w:t>
      </w:r>
    </w:p>
    <w:p w14:paraId="0FD79358" w14:textId="77777777" w:rsidR="006875AF" w:rsidRPr="00910E13" w:rsidRDefault="006875AF" w:rsidP="006875AF">
      <w:pPr>
        <w:spacing w:line="259" w:lineRule="auto"/>
        <w:rPr>
          <w:lang w:val="en-US"/>
        </w:rPr>
      </w:pPr>
      <w:r w:rsidRPr="00910E13">
        <w:rPr>
          <w:lang w:val="en-US"/>
        </w:rPr>
        <w:lastRenderedPageBreak/>
        <w:t xml:space="preserve">The Cramér-Rao bound of an unbiased delay estimator </w:t>
      </w:r>
      <m:oMath>
        <m:r>
          <w:rPr>
            <w:rFonts w:ascii="Cambria Math" w:hAnsi="Cambria Math"/>
            <w:lang w:val="en-US"/>
          </w:rPr>
          <m:t>(</m:t>
        </m:r>
        <m:acc>
          <m:accPr>
            <m:ctrlPr>
              <w:rPr>
                <w:rFonts w:ascii="Cambria Math" w:hAnsi="Cambria Math"/>
                <w:i/>
                <w:lang w:val="en-US"/>
              </w:rPr>
            </m:ctrlPr>
          </m:accPr>
          <m:e>
            <m:r>
              <w:rPr>
                <w:rFonts w:ascii="Cambria Math" w:hAnsi="Cambria Math"/>
                <w:lang w:val="en-US"/>
              </w:rPr>
              <m:t>δ</m:t>
            </m:r>
          </m:e>
        </m:acc>
        <m:r>
          <w:rPr>
            <w:rFonts w:ascii="Cambria Math" w:hAnsi="Cambria Math"/>
            <w:lang w:val="en-US"/>
          </w:rPr>
          <m:t>)</m:t>
        </m:r>
      </m:oMath>
      <w:r w:rsidRPr="00910E13">
        <w:rPr>
          <w:lang w:val="en-US"/>
        </w:rPr>
        <w:t xml:space="preserve"> takes the form:</w:t>
      </w:r>
    </w:p>
    <w:p w14:paraId="5C3C50E3" w14:textId="350C5155" w:rsidR="006875AF" w:rsidRPr="00910E13" w:rsidRDefault="006875AF" w:rsidP="006875AF">
      <w:pPr>
        <w:spacing w:line="259" w:lineRule="auto"/>
        <w:rPr>
          <w:lang w:val="en-US"/>
        </w:rPr>
      </w:pPr>
      <m:oMathPara>
        <m:oMathParaPr>
          <m:jc m:val="left"/>
        </m:oMathParaPr>
        <m:oMath>
          <m:r>
            <w:rPr>
              <w:rFonts w:ascii="Cambria Math" w:hAnsi="Cambria Math"/>
              <w:lang w:val="en-US"/>
            </w:rPr>
            <m:t>var</m:t>
          </m:r>
          <m:d>
            <m:dPr>
              <m:ctrlPr>
                <w:rPr>
                  <w:rFonts w:ascii="Cambria Math" w:hAnsi="Cambria Math"/>
                  <w:i/>
                  <w:lang w:val="en-US"/>
                </w:rPr>
              </m:ctrlPr>
            </m:dPr>
            <m:e>
              <m:r>
                <w:rPr>
                  <w:rFonts w:ascii="Cambria Math" w:hAnsi="Cambria Math"/>
                  <w:lang w:val="en-US"/>
                </w:rPr>
                <m:t>δ-</m:t>
              </m:r>
              <m:acc>
                <m:accPr>
                  <m:ctrlPr>
                    <w:rPr>
                      <w:rFonts w:ascii="Cambria Math" w:hAnsi="Cambria Math"/>
                      <w:i/>
                      <w:lang w:val="en-US"/>
                    </w:rPr>
                  </m:ctrlPr>
                </m:accPr>
                <m:e>
                  <m:r>
                    <w:rPr>
                      <w:rFonts w:ascii="Cambria Math" w:hAnsi="Cambria Math"/>
                      <w:lang w:val="en-US"/>
                    </w:rPr>
                    <m:t>δ</m:t>
                  </m:r>
                </m:e>
              </m:acc>
            </m:e>
          </m:d>
          <m:r>
            <w:rPr>
              <w:rFonts w:ascii="Cambria Math" w:hAnsi="Cambria Math"/>
              <w:lang w:val="en-US"/>
            </w:rPr>
            <m:t>≥</m:t>
          </m:r>
          <m:f>
            <m:fPr>
              <m:ctrlPr>
                <w:rPr>
                  <w:rFonts w:ascii="Cambria Math" w:hAnsi="Cambria Math"/>
                  <w:i/>
                  <w:lang w:val="en-US"/>
                </w:rPr>
              </m:ctrlPr>
            </m:fPr>
            <m:num>
              <m:r>
                <w:rPr>
                  <w:rFonts w:ascii="Cambria Math" w:hAnsi="Cambria Math"/>
                  <w:lang w:val="en-US"/>
                </w:rPr>
                <m:t>3</m:t>
              </m:r>
              <m:sSup>
                <m:sSupPr>
                  <m:ctrlPr>
                    <w:rPr>
                      <w:rFonts w:ascii="Cambria Math" w:hAnsi="Cambria Math"/>
                      <w:i/>
                      <w:lang w:val="en-US"/>
                    </w:rPr>
                  </m:ctrlPr>
                </m:sSupPr>
                <m:e>
                  <m:r>
                    <w:rPr>
                      <w:rFonts w:ascii="Cambria Math" w:hAnsi="Cambria Math"/>
                      <w:lang w:val="en-US"/>
                    </w:rPr>
                    <m:t>σ</m:t>
                  </m:r>
                </m:e>
                <m:sup>
                  <m:r>
                    <w:rPr>
                      <w:rFonts w:ascii="Cambria Math" w:hAnsi="Cambria Math"/>
                      <w:lang w:val="en-US"/>
                    </w:rPr>
                    <m:t>2</m:t>
                  </m:r>
                </m:sup>
              </m:sSup>
            </m:num>
            <m:den>
              <m:r>
                <w:rPr>
                  <w:rFonts w:ascii="Cambria Math" w:hAnsi="Cambria Math"/>
                  <w:lang w:val="en-US"/>
                </w:rPr>
                <m:t>2</m:t>
              </m:r>
              <m:sSup>
                <m:sSupPr>
                  <m:ctrlPr>
                    <w:rPr>
                      <w:rFonts w:ascii="Cambria Math" w:hAnsi="Cambria Math"/>
                      <w:i/>
                      <w:lang w:val="en-US"/>
                    </w:rPr>
                  </m:ctrlPr>
                </m:sSupPr>
                <m:e>
                  <m:r>
                    <w:rPr>
                      <w:rFonts w:ascii="Cambria Math" w:hAnsi="Cambria Math"/>
                      <w:lang w:val="en-US"/>
                    </w:rPr>
                    <m:t>π</m:t>
                  </m:r>
                </m:e>
                <m:sup>
                  <m:r>
                    <w:rPr>
                      <w:rFonts w:ascii="Cambria Math" w:hAnsi="Cambria Math"/>
                      <w:lang w:val="en-US"/>
                    </w:rPr>
                    <m:t>2</m:t>
                  </m:r>
                </m:sup>
              </m:sSup>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m:t>
                  </m:r>
                </m:sub>
              </m:sSub>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SCS</m:t>
                  </m:r>
                </m:sub>
                <m:sup>
                  <m:r>
                    <w:rPr>
                      <w:rFonts w:ascii="Cambria Math" w:hAnsi="Cambria Math"/>
                      <w:lang w:val="en-US"/>
                    </w:rPr>
                    <m:t>2</m:t>
                  </m:r>
                </m:sup>
              </m:sSubSup>
              <m:nary>
                <m:naryPr>
                  <m:chr m:val="∑"/>
                  <m:limLoc m:val="undOvr"/>
                  <m:ctrlPr>
                    <w:rPr>
                      <w:rFonts w:ascii="Cambria Math" w:hAnsi="Cambria Math"/>
                      <w:i/>
                      <w:lang w:val="en-US"/>
                    </w:rPr>
                  </m:ctrlPr>
                </m:naryPr>
                <m:sub>
                  <m:r>
                    <w:rPr>
                      <w:rFonts w:ascii="Cambria Math" w:hAnsi="Cambria Math"/>
                      <w:lang w:val="en-US"/>
                    </w:rPr>
                    <m:t>l=1</m:t>
                  </m:r>
                </m:sub>
                <m:sup>
                  <m:r>
                    <w:rPr>
                      <w:rFonts w:ascii="Cambria Math" w:hAnsi="Cambria Math"/>
                      <w:lang w:val="en-US"/>
                    </w:rPr>
                    <m:t>m</m:t>
                  </m:r>
                </m:sup>
                <m:e>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l</m:t>
                          </m:r>
                        </m:sub>
                        <m:sup>
                          <m:r>
                            <w:rPr>
                              <w:rFonts w:ascii="Cambria Math" w:hAnsi="Cambria Math"/>
                              <w:lang w:val="en-US"/>
                            </w:rPr>
                            <m:t>2</m:t>
                          </m:r>
                        </m:sup>
                      </m:sSubSup>
                      <m:r>
                        <w:rPr>
                          <w:rFonts w:ascii="Cambria Math" w:hAnsi="Cambria Math"/>
                          <w:lang w:val="en-US"/>
                        </w:rPr>
                        <m:t>-2</m:t>
                      </m:r>
                    </m:e>
                  </m:d>
                </m:e>
              </m:nary>
            </m:den>
          </m:f>
          <m:r>
            <w:rPr>
              <w:rFonts w:ascii="Cambria Math" w:hAnsi="Cambria Math"/>
              <w:lang w:val="en-US"/>
            </w:rPr>
            <m:t xml:space="preserve">                                                                                        (2)</m:t>
          </m:r>
        </m:oMath>
      </m:oMathPara>
    </w:p>
    <w:p w14:paraId="10F7FDF8" w14:textId="4A381B3F" w:rsidR="006875AF" w:rsidRPr="00910E13" w:rsidRDefault="006875AF" w:rsidP="006875AF">
      <w:pPr>
        <w:spacing w:line="259" w:lineRule="auto"/>
        <w:rPr>
          <w:lang w:val="en-US"/>
        </w:rPr>
      </w:pPr>
      <w:r w:rsidRPr="00910E13">
        <w:rPr>
          <w:lang w:val="en-US"/>
        </w:rPr>
        <w:t xml:space="preserve">From </w:t>
      </w:r>
      <w:r w:rsidR="001049EB">
        <w:rPr>
          <w:lang w:val="en-US"/>
        </w:rPr>
        <w:t>(3)</w:t>
      </w:r>
      <w:r w:rsidRPr="00910E13">
        <w:rPr>
          <w:lang w:val="en-US"/>
        </w:rPr>
        <w:t>, the following observations can be made:</w:t>
      </w:r>
    </w:p>
    <w:p w14:paraId="14D6BCFB" w14:textId="0B789247" w:rsidR="006875AF" w:rsidRPr="00910E13" w:rsidRDefault="006875AF" w:rsidP="006875AF">
      <w:pPr>
        <w:spacing w:line="259" w:lineRule="auto"/>
        <w:rPr>
          <w:lang w:val="en-US"/>
        </w:rPr>
      </w:pPr>
      <w:r w:rsidRPr="00910E13">
        <w:rPr>
          <w:b/>
          <w:bCs/>
          <w:u w:val="single"/>
          <w:lang w:val="en-US"/>
        </w:rPr>
        <w:t>Observation 1</w:t>
      </w:r>
      <w:r w:rsidRPr="00910E13">
        <w:rPr>
          <w:lang w:val="en-US"/>
        </w:rPr>
        <w:t xml:space="preserve">: Cramér-Rao lower bound on the ToA error variance scales to the inverse square of the </w:t>
      </w:r>
      <w:r w:rsidR="001049EB">
        <w:rPr>
          <w:lang w:val="en-US"/>
        </w:rPr>
        <w:t>PRS bandwidth</w:t>
      </w:r>
      <w:r w:rsidRPr="00910E13">
        <w:rPr>
          <w:lang w:val="en-US"/>
        </w:rPr>
        <w:t xml:space="preserve"> under the fixed Tx power assumption.</w:t>
      </w:r>
    </w:p>
    <w:p w14:paraId="20C94D81" w14:textId="6FAC1944" w:rsidR="006875AF" w:rsidRPr="00910E13" w:rsidRDefault="006875AF" w:rsidP="006875AF">
      <w:pPr>
        <w:spacing w:line="259" w:lineRule="auto"/>
        <w:rPr>
          <w:lang w:val="en-US"/>
        </w:rPr>
      </w:pPr>
      <w:r w:rsidRPr="00910E13">
        <w:rPr>
          <w:b/>
          <w:bCs/>
          <w:u w:val="single"/>
          <w:lang w:val="en-US"/>
        </w:rPr>
        <w:t xml:space="preserve">Observation </w:t>
      </w:r>
      <w:r w:rsidR="00445B93">
        <w:rPr>
          <w:b/>
          <w:bCs/>
          <w:u w:val="single"/>
          <w:lang w:val="en-US"/>
        </w:rPr>
        <w:t>2</w:t>
      </w:r>
      <w:r w:rsidRPr="00910E13">
        <w:rPr>
          <w:lang w:val="en-US"/>
        </w:rPr>
        <w:t xml:space="preserve">: The ToA error variance is inversely proportional to the number of consecutive PRS resources (which is seen if we interpret the PFLs </w:t>
      </w:r>
      <m:oMath>
        <m:r>
          <w:rPr>
            <w:rFonts w:ascii="Cambria Math" w:hAnsi="Cambria Math"/>
            <w:lang w:val="en-US"/>
          </w:rPr>
          <m:t>l=1,2,…,m</m:t>
        </m:r>
      </m:oMath>
      <w:r w:rsidRPr="00910E13">
        <w:rPr>
          <w:lang w:val="en-US"/>
        </w:rPr>
        <w:t xml:space="preserve"> as different PRS resources with the same </w:t>
      </w:r>
      <w:r w:rsidR="001049EB">
        <w:rPr>
          <w:lang w:val="en-US"/>
        </w:rPr>
        <w:t>bandwidth</w:t>
      </w:r>
      <w:r w:rsidRPr="00910E13">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l</m:t>
            </m:r>
          </m:sub>
        </m:sSub>
        <m:r>
          <w:rPr>
            <w:rFonts w:ascii="Cambria Math" w:hAnsi="Cambria Math"/>
            <w:lang w:val="en-US"/>
          </w:rPr>
          <m:t>=n</m:t>
        </m:r>
      </m:oMath>
      <w:r w:rsidRPr="00910E13">
        <w:rPr>
          <w:lang w:val="en-US"/>
        </w:rPr>
        <w:t>).</w:t>
      </w:r>
    </w:p>
    <w:p w14:paraId="65AF127F" w14:textId="47E6204E" w:rsidR="006875AF" w:rsidRPr="00910E13" w:rsidRDefault="006875AF" w:rsidP="006875AF">
      <w:pPr>
        <w:spacing w:line="259" w:lineRule="auto"/>
        <w:rPr>
          <w:lang w:val="en-US"/>
        </w:rPr>
      </w:pPr>
      <w:r w:rsidRPr="00910E13">
        <w:rPr>
          <w:b/>
          <w:bCs/>
          <w:u w:val="single"/>
          <w:lang w:val="en-US"/>
        </w:rPr>
        <w:t xml:space="preserve">Observation </w:t>
      </w:r>
      <w:r w:rsidR="00445B93">
        <w:rPr>
          <w:b/>
          <w:bCs/>
          <w:u w:val="single"/>
          <w:lang w:val="en-US"/>
        </w:rPr>
        <w:t>3</w:t>
      </w:r>
      <w:r w:rsidRPr="00910E13">
        <w:rPr>
          <w:lang w:val="en-US"/>
        </w:rPr>
        <w:t xml:space="preserve">: If the number of PRS resources is doubled (for example, from a 1-slot staggered </w:t>
      </w:r>
      <w:r w:rsidRPr="00910E13">
        <w:rPr>
          <w:i/>
          <w:iCs/>
          <w:lang w:val="en-US"/>
        </w:rPr>
        <w:t>comb-k</w:t>
      </w:r>
      <w:r w:rsidRPr="00910E13">
        <w:rPr>
          <w:lang w:val="en-US"/>
        </w:rPr>
        <w:t xml:space="preserve"> PRS to a 2-slot staggered </w:t>
      </w:r>
      <w:r w:rsidRPr="00910E13">
        <w:rPr>
          <w:i/>
          <w:iCs/>
          <w:lang w:val="en-US"/>
        </w:rPr>
        <w:t>comb-k</w:t>
      </w:r>
      <w:r w:rsidRPr="00910E13">
        <w:rPr>
          <w:lang w:val="en-US"/>
        </w:rPr>
        <w:t xml:space="preserve"> PRS at the same </w:t>
      </w:r>
      <w:r w:rsidR="001049EB">
        <w:rPr>
          <w:lang w:val="en-US"/>
        </w:rPr>
        <w:t>bandwidth</w:t>
      </w:r>
      <w:r w:rsidRPr="00910E13">
        <w:rPr>
          <w:lang w:val="en-US"/>
        </w:rPr>
        <w:t>), the ToA error variance is halved.</w:t>
      </w:r>
    </w:p>
    <w:p w14:paraId="08657AAA" w14:textId="0297C880" w:rsidR="006875AF" w:rsidRDefault="006875AF" w:rsidP="006875AF">
      <w:pPr>
        <w:spacing w:line="259" w:lineRule="auto"/>
        <w:rPr>
          <w:lang w:val="en-US"/>
        </w:rPr>
      </w:pPr>
      <w:r w:rsidRPr="00910E13">
        <w:rPr>
          <w:b/>
          <w:bCs/>
          <w:u w:val="single"/>
          <w:lang w:val="en-US"/>
        </w:rPr>
        <w:t xml:space="preserve">Observation </w:t>
      </w:r>
      <w:r w:rsidR="00445B93">
        <w:rPr>
          <w:b/>
          <w:bCs/>
          <w:u w:val="single"/>
          <w:lang w:val="en-US"/>
        </w:rPr>
        <w:t>4</w:t>
      </w:r>
      <w:r w:rsidRPr="00910E13">
        <w:rPr>
          <w:lang w:val="en-US"/>
        </w:rPr>
        <w:t xml:space="preserve">: ToA error variance decreases faster with increase in </w:t>
      </w:r>
      <w:r w:rsidR="001049EB">
        <w:rPr>
          <w:lang w:val="en-US"/>
        </w:rPr>
        <w:t>bandwidth</w:t>
      </w:r>
      <w:r w:rsidRPr="00910E13">
        <w:rPr>
          <w:lang w:val="en-US"/>
        </w:rPr>
        <w:t xml:space="preserve"> than increasing PRS resources in the time dimension.</w:t>
      </w:r>
    </w:p>
    <w:p w14:paraId="13F37B4B" w14:textId="34636285" w:rsidR="00445B93" w:rsidRDefault="00445B93" w:rsidP="006875AF">
      <w:pPr>
        <w:spacing w:line="259" w:lineRule="auto"/>
        <w:rPr>
          <w:lang w:val="en-US"/>
        </w:rPr>
      </w:pPr>
      <w:r w:rsidRPr="00445B93">
        <w:rPr>
          <w:b/>
          <w:bCs/>
          <w:u w:val="single"/>
          <w:lang w:val="en-US"/>
        </w:rPr>
        <w:t>Observation 5</w:t>
      </w:r>
      <w:r>
        <w:rPr>
          <w:lang w:val="en-US"/>
        </w:rPr>
        <w:t xml:space="preserve">: Increased PRS bandwidth by aggregating PRS resources from multiple PFLs helps improve RSTD and UE Rx-Tx measurement accuracy. </w:t>
      </w:r>
    </w:p>
    <w:p w14:paraId="7197BB03" w14:textId="17A2D84E" w:rsidR="00445B93" w:rsidRDefault="00445B93" w:rsidP="00445B93">
      <w:pPr>
        <w:spacing w:line="259" w:lineRule="auto"/>
        <w:rPr>
          <w:lang w:val="en-US"/>
        </w:rPr>
      </w:pPr>
      <w:r w:rsidRPr="00910E13">
        <w:rPr>
          <w:b/>
          <w:bCs/>
          <w:u w:val="single"/>
          <w:lang w:val="en-US"/>
        </w:rPr>
        <w:t>Observation 6</w:t>
      </w:r>
      <w:r w:rsidRPr="00910E13">
        <w:rPr>
          <w:lang w:val="en-US"/>
        </w:rPr>
        <w:t xml:space="preserve">: The total PRS </w:t>
      </w:r>
      <w:r>
        <w:rPr>
          <w:lang w:val="en-US"/>
        </w:rPr>
        <w:t>bandwidth</w:t>
      </w:r>
      <w:r w:rsidRPr="00910E13">
        <w:rPr>
          <w:lang w:val="en-US"/>
        </w:rPr>
        <w:t xml:space="preserve"> after aggregation does not enhance achievable ToA accuracy if the </w:t>
      </w:r>
      <w:r>
        <w:rPr>
          <w:lang w:val="en-US"/>
        </w:rPr>
        <w:t xml:space="preserve">aggregated PRS resources in different </w:t>
      </w:r>
      <w:r w:rsidRPr="00910E13">
        <w:rPr>
          <w:lang w:val="en-US"/>
        </w:rPr>
        <w:t>PFL that are combined are non-coherent in phase.</w:t>
      </w:r>
    </w:p>
    <w:p w14:paraId="5D50D67E" w14:textId="1A9A8616" w:rsidR="00F73B38" w:rsidRDefault="00F73B38" w:rsidP="00445B93">
      <w:pPr>
        <w:spacing w:line="259" w:lineRule="auto"/>
        <w:rPr>
          <w:lang w:val="en-US"/>
        </w:rPr>
      </w:pPr>
      <w:r w:rsidRPr="00F13C6A">
        <w:rPr>
          <w:b/>
          <w:bCs/>
          <w:u w:val="single"/>
          <w:lang w:val="en-US"/>
        </w:rPr>
        <w:t>Observation 7</w:t>
      </w:r>
      <w:r>
        <w:rPr>
          <w:lang w:val="en-US"/>
        </w:rPr>
        <w:t xml:space="preserve">: Maintaining phase consistency between the PRS resources in different PFLs is easier when PFLs are within the same </w:t>
      </w:r>
      <w:r w:rsidR="00F13C6A">
        <w:rPr>
          <w:lang w:val="en-US"/>
        </w:rPr>
        <w:t>band and are contiguous.</w:t>
      </w:r>
    </w:p>
    <w:p w14:paraId="63C7586A" w14:textId="3516C3CC" w:rsidR="00445B93" w:rsidRDefault="00445B93" w:rsidP="006875AF">
      <w:pPr>
        <w:spacing w:line="259" w:lineRule="auto"/>
        <w:rPr>
          <w:lang w:val="en-US"/>
        </w:rPr>
      </w:pPr>
      <w:r w:rsidRPr="00F73B38">
        <w:rPr>
          <w:b/>
          <w:bCs/>
          <w:u w:val="single"/>
          <w:lang w:val="en-US"/>
        </w:rPr>
        <w:t xml:space="preserve">Observation </w:t>
      </w:r>
      <w:r w:rsidR="00F73B38">
        <w:rPr>
          <w:b/>
          <w:bCs/>
          <w:u w:val="single"/>
          <w:lang w:val="en-US"/>
        </w:rPr>
        <w:t>8</w:t>
      </w:r>
      <w:r>
        <w:rPr>
          <w:lang w:val="en-US"/>
        </w:rPr>
        <w:t xml:space="preserve">: Timing alignment between PRS resources transmitted in different PFLs </w:t>
      </w:r>
      <w:r w:rsidR="00F73B38">
        <w:rPr>
          <w:lang w:val="en-US"/>
        </w:rPr>
        <w:t xml:space="preserve">impact achievable ToA accuracy. </w:t>
      </w:r>
    </w:p>
    <w:p w14:paraId="320F3D18" w14:textId="0A0A5041" w:rsidR="0054716F" w:rsidRDefault="00F13C6A" w:rsidP="0054716F">
      <w:pPr>
        <w:spacing w:line="259" w:lineRule="auto"/>
        <w:rPr>
          <w:lang w:val="en-US"/>
        </w:rPr>
      </w:pPr>
      <w:r>
        <w:rPr>
          <w:lang w:val="en-US"/>
        </w:rPr>
        <w:t xml:space="preserve">To support </w:t>
      </w:r>
      <w:r w:rsidR="0054716F">
        <w:rPr>
          <w:lang w:val="en-US"/>
        </w:rPr>
        <w:t xml:space="preserve">MIMO transmissions and </w:t>
      </w:r>
      <w:r>
        <w:rPr>
          <w:lang w:val="en-US"/>
        </w:rPr>
        <w:t>carrier aggregation at UE,</w:t>
      </w:r>
      <w:r w:rsidR="008D3E56">
        <w:rPr>
          <w:lang w:val="en-US"/>
        </w:rPr>
        <w:t xml:space="preserve"> TS 38.104 has defined the following requirements on timing alignment </w:t>
      </w:r>
      <w:r w:rsidR="0054716F">
        <w:rPr>
          <w:lang w:val="en-US"/>
        </w:rPr>
        <w:t xml:space="preserve">at BS </w:t>
      </w:r>
      <w:r w:rsidR="008D3E56">
        <w:rPr>
          <w:lang w:val="en-US"/>
        </w:rPr>
        <w:t>[</w:t>
      </w:r>
      <w:r w:rsidR="004311C5">
        <w:rPr>
          <w:lang w:val="en-US"/>
        </w:rPr>
        <w:t>2</w:t>
      </w:r>
      <w:r w:rsidR="008D3E56">
        <w:rPr>
          <w:lang w:val="en-US"/>
        </w:rPr>
        <w:t>]</w:t>
      </w:r>
      <w:r>
        <w:rPr>
          <w:lang w:val="en-US"/>
        </w:rPr>
        <w:t>.</w:t>
      </w:r>
      <w:r w:rsidR="008156C1">
        <w:rPr>
          <w:lang w:val="en-US"/>
        </w:rPr>
        <w:t xml:space="preserve"> </w:t>
      </w:r>
    </w:p>
    <w:p w14:paraId="1B5DF766" w14:textId="2E9555F4" w:rsidR="00C0243F" w:rsidRDefault="00C0243F" w:rsidP="0054716F">
      <w:pPr>
        <w:spacing w:line="259" w:lineRule="auto"/>
        <w:rPr>
          <w:rFonts w:eastAsia="Times New Roman"/>
          <w:lang w:val="en-SE" w:eastAsia="en-GB"/>
        </w:rPr>
      </w:pPr>
      <w:r w:rsidRPr="00E97E73">
        <w:rPr>
          <w:rFonts w:eastAsia="Times New Roman"/>
          <w:b/>
          <w:bCs/>
          <w:u w:val="single"/>
          <w:lang w:val="en-SE" w:eastAsia="en-GB"/>
        </w:rPr>
        <w:t>Minimum requirement for BS type 1-C and BS type 1-H</w:t>
      </w:r>
      <w:r w:rsidRPr="00C0243F">
        <w:rPr>
          <w:rFonts w:eastAsia="Times New Roman"/>
          <w:lang w:val="en-US" w:eastAsia="en-GB"/>
        </w:rPr>
        <w:t xml:space="preserve"> </w:t>
      </w:r>
      <w:r w:rsidRPr="00E97E73">
        <w:rPr>
          <w:rFonts w:eastAsia="Times New Roman"/>
          <w:lang w:val="en-SE" w:eastAsia="en-GB"/>
        </w:rPr>
        <w:br/>
        <w:t>For MIMO transmission, at each carrier frequency, TAE shall not exceed 65 ns.</w:t>
      </w:r>
    </w:p>
    <w:p w14:paraId="25D415D1" w14:textId="4963F940" w:rsidR="00C0243F" w:rsidRDefault="00C0243F" w:rsidP="00C0243F">
      <w:pPr>
        <w:spacing w:before="100" w:beforeAutospacing="1" w:after="0"/>
        <w:rPr>
          <w:rFonts w:eastAsia="Times New Roman"/>
          <w:lang w:val="en-SE" w:eastAsia="en-GB"/>
        </w:rPr>
      </w:pPr>
      <w:r w:rsidRPr="00E97E73">
        <w:rPr>
          <w:rFonts w:eastAsia="Times New Roman"/>
          <w:lang w:val="en-SE" w:eastAsia="en-GB"/>
        </w:rPr>
        <w:t xml:space="preserve">For </w:t>
      </w:r>
      <w:r w:rsidRPr="00E97E73">
        <w:rPr>
          <w:rFonts w:eastAsia="Times New Roman"/>
          <w:i/>
          <w:iCs/>
          <w:lang w:val="en-SE" w:eastAsia="en-GB"/>
        </w:rPr>
        <w:t>intra-band contiguous carrier aggregation</w:t>
      </w:r>
      <w:r w:rsidRPr="00E97E73">
        <w:rPr>
          <w:rFonts w:eastAsia="Times New Roman"/>
          <w:lang w:val="en-SE" w:eastAsia="en-GB"/>
        </w:rPr>
        <w:t>, with or without MIMO, TAE shall not exceed 260ns.</w:t>
      </w:r>
    </w:p>
    <w:p w14:paraId="323C1F86" w14:textId="77777777" w:rsidR="00C0243F" w:rsidRDefault="00C0243F" w:rsidP="00C0243F">
      <w:pPr>
        <w:spacing w:before="100" w:beforeAutospacing="1" w:after="0"/>
        <w:rPr>
          <w:rFonts w:eastAsia="Times New Roman"/>
          <w:lang w:val="en-SE" w:eastAsia="en-GB"/>
        </w:rPr>
      </w:pPr>
      <w:r w:rsidRPr="00E97E73">
        <w:rPr>
          <w:rFonts w:eastAsia="Times New Roman"/>
          <w:lang w:val="en-SE" w:eastAsia="en-GB"/>
        </w:rPr>
        <w:t xml:space="preserve">For </w:t>
      </w:r>
      <w:r w:rsidRPr="00E97E73">
        <w:rPr>
          <w:rFonts w:eastAsia="Times New Roman"/>
          <w:i/>
          <w:iCs/>
          <w:lang w:val="en-SE" w:eastAsia="en-GB"/>
        </w:rPr>
        <w:t>intra-band non-contiguous carrier aggregation</w:t>
      </w:r>
      <w:r w:rsidRPr="00E97E73">
        <w:rPr>
          <w:rFonts w:eastAsia="Times New Roman"/>
          <w:lang w:val="en-SE" w:eastAsia="en-GB"/>
        </w:rPr>
        <w:t>, with or without MIMO, TAE shall not exceed 3μs.</w:t>
      </w:r>
    </w:p>
    <w:p w14:paraId="2CBAFF24" w14:textId="0DA5F1DB" w:rsidR="00C0243F" w:rsidRDefault="00C0243F" w:rsidP="00C0243F">
      <w:pPr>
        <w:spacing w:before="100" w:beforeAutospacing="1" w:after="0"/>
        <w:rPr>
          <w:rFonts w:eastAsia="Times New Roman"/>
          <w:lang w:val="en-SE" w:eastAsia="en-GB"/>
        </w:rPr>
      </w:pPr>
      <w:r w:rsidRPr="00E97E73">
        <w:rPr>
          <w:rFonts w:eastAsia="Times New Roman"/>
          <w:lang w:val="en-SE" w:eastAsia="en-GB"/>
        </w:rPr>
        <w:t xml:space="preserve">For inter-band </w:t>
      </w:r>
      <w:r w:rsidRPr="00E97E73">
        <w:rPr>
          <w:rFonts w:eastAsia="Times New Roman"/>
          <w:i/>
          <w:iCs/>
          <w:lang w:val="en-SE" w:eastAsia="en-GB"/>
        </w:rPr>
        <w:t>carrier aggregation</w:t>
      </w:r>
      <w:r w:rsidRPr="00E97E73">
        <w:rPr>
          <w:rFonts w:eastAsia="Times New Roman"/>
          <w:lang w:val="en-SE" w:eastAsia="en-GB"/>
        </w:rPr>
        <w:t>, with or without MIMO, TAE shall not exceed 3μs.</w:t>
      </w:r>
    </w:p>
    <w:p w14:paraId="71863470" w14:textId="77777777" w:rsidR="0054716F" w:rsidRDefault="0054716F" w:rsidP="00C0243F">
      <w:pPr>
        <w:spacing w:before="100" w:beforeAutospacing="1" w:after="0"/>
        <w:rPr>
          <w:rFonts w:eastAsia="Times New Roman"/>
          <w:b/>
          <w:bCs/>
          <w:u w:val="single"/>
          <w:lang w:val="en-SE" w:eastAsia="en-GB"/>
        </w:rPr>
      </w:pPr>
    </w:p>
    <w:p w14:paraId="68DE1DD5" w14:textId="0DA79830" w:rsidR="00C0243F" w:rsidRDefault="00C0243F" w:rsidP="00C0243F">
      <w:pPr>
        <w:spacing w:before="100" w:beforeAutospacing="1" w:after="0"/>
        <w:rPr>
          <w:rFonts w:eastAsia="Times New Roman"/>
          <w:lang w:val="en-SE" w:eastAsia="en-GB"/>
        </w:rPr>
      </w:pPr>
      <w:r w:rsidRPr="00F13C6A">
        <w:rPr>
          <w:rFonts w:eastAsia="Times New Roman"/>
          <w:b/>
          <w:bCs/>
          <w:u w:val="single"/>
          <w:lang w:val="en-SE" w:eastAsia="en-GB"/>
        </w:rPr>
        <w:t>Minimum requirement for BS type 2-O</w:t>
      </w:r>
      <w:r w:rsidRPr="00F13C6A">
        <w:rPr>
          <w:rFonts w:eastAsia="Times New Roman"/>
          <w:lang w:val="en-SE" w:eastAsia="en-GB"/>
        </w:rPr>
        <w:br/>
        <w:t>For MIMO transmission, at each carrier frequency, OTA TAE shall not exceed 65 ns.</w:t>
      </w:r>
    </w:p>
    <w:p w14:paraId="1A078B19" w14:textId="22064084" w:rsidR="00C0243F" w:rsidRDefault="00C0243F" w:rsidP="00C0243F">
      <w:pPr>
        <w:spacing w:before="100" w:beforeAutospacing="1" w:after="0"/>
        <w:rPr>
          <w:rFonts w:eastAsia="Times New Roman"/>
          <w:lang w:val="en-SE" w:eastAsia="en-GB"/>
        </w:rPr>
      </w:pPr>
      <w:r w:rsidRPr="00F13C6A">
        <w:rPr>
          <w:rFonts w:eastAsia="Times New Roman"/>
          <w:lang w:val="en-SE" w:eastAsia="en-GB"/>
        </w:rPr>
        <w:t xml:space="preserve">For </w:t>
      </w:r>
      <w:r w:rsidRPr="00F13C6A">
        <w:rPr>
          <w:rFonts w:eastAsia="Times New Roman"/>
          <w:i/>
          <w:iCs/>
          <w:lang w:val="en-SE" w:eastAsia="en-GB"/>
        </w:rPr>
        <w:t>intra-band contiguous carrier aggregation</w:t>
      </w:r>
      <w:r w:rsidRPr="00F13C6A">
        <w:rPr>
          <w:rFonts w:eastAsia="Times New Roman"/>
          <w:lang w:val="en-SE" w:eastAsia="en-GB"/>
        </w:rPr>
        <w:t>, with or without MIMO, OTA TAE shall not exceed 130ns.</w:t>
      </w:r>
    </w:p>
    <w:p w14:paraId="17EEC87C" w14:textId="64E5C1F2" w:rsidR="00C0243F" w:rsidRDefault="00C0243F" w:rsidP="00C0243F">
      <w:pPr>
        <w:spacing w:before="100" w:beforeAutospacing="1" w:after="0"/>
        <w:rPr>
          <w:rFonts w:eastAsia="Times New Roman"/>
          <w:lang w:val="en-SE" w:eastAsia="en-GB"/>
        </w:rPr>
      </w:pPr>
      <w:r w:rsidRPr="00F13C6A">
        <w:rPr>
          <w:rFonts w:eastAsia="Times New Roman"/>
          <w:lang w:val="en-SE" w:eastAsia="en-GB"/>
        </w:rPr>
        <w:t xml:space="preserve">For </w:t>
      </w:r>
      <w:r w:rsidRPr="00F13C6A">
        <w:rPr>
          <w:rFonts w:eastAsia="Times New Roman"/>
          <w:i/>
          <w:iCs/>
          <w:lang w:val="en-SE" w:eastAsia="en-GB"/>
        </w:rPr>
        <w:t>intra-band non-contiguous carrier aggregation</w:t>
      </w:r>
      <w:r w:rsidRPr="00F13C6A">
        <w:rPr>
          <w:rFonts w:eastAsia="Times New Roman"/>
          <w:lang w:val="en-SE" w:eastAsia="en-GB"/>
        </w:rPr>
        <w:t>, with or without MIMO, OTA TAE shall not exceed 260ns.</w:t>
      </w:r>
    </w:p>
    <w:p w14:paraId="6C58DE54" w14:textId="5D4E5161" w:rsidR="00C0243F" w:rsidRDefault="00C0243F" w:rsidP="00C0243F">
      <w:pPr>
        <w:spacing w:before="100" w:beforeAutospacing="1" w:after="0"/>
        <w:rPr>
          <w:rFonts w:eastAsia="Times New Roman"/>
          <w:lang w:val="en-SE" w:eastAsia="en-GB"/>
        </w:rPr>
      </w:pPr>
      <w:r w:rsidRPr="00F13C6A">
        <w:rPr>
          <w:rFonts w:eastAsia="Times New Roman"/>
          <w:lang w:val="en-SE" w:eastAsia="en-GB"/>
        </w:rPr>
        <w:t xml:space="preserve">For inter-band </w:t>
      </w:r>
      <w:r w:rsidRPr="00F13C6A">
        <w:rPr>
          <w:rFonts w:eastAsia="Times New Roman"/>
          <w:i/>
          <w:iCs/>
          <w:lang w:val="en-SE" w:eastAsia="en-GB"/>
        </w:rPr>
        <w:t>carrier aggregation</w:t>
      </w:r>
      <w:r w:rsidRPr="00F13C6A">
        <w:rPr>
          <w:rFonts w:eastAsia="Times New Roman"/>
          <w:lang w:val="en-SE" w:eastAsia="en-GB"/>
        </w:rPr>
        <w:t xml:space="preserve">, with or without MIMO, OTA TAE shall not exceed 3μs. </w:t>
      </w:r>
    </w:p>
    <w:p w14:paraId="626DE444" w14:textId="77777777" w:rsidR="0054716F" w:rsidRDefault="0054716F" w:rsidP="007D3FAB">
      <w:pPr>
        <w:spacing w:before="100" w:beforeAutospacing="1" w:after="100" w:afterAutospacing="1"/>
        <w:rPr>
          <w:rFonts w:eastAsia="Times New Roman"/>
          <w:b/>
          <w:bCs/>
          <w:u w:val="single"/>
          <w:lang w:val="en-US" w:eastAsia="en-GB"/>
        </w:rPr>
      </w:pPr>
    </w:p>
    <w:p w14:paraId="1E65458B" w14:textId="4496A612" w:rsidR="007D3FAB" w:rsidRDefault="007D3FAB" w:rsidP="007D3FAB">
      <w:pPr>
        <w:spacing w:before="100" w:beforeAutospacing="1" w:after="100" w:afterAutospacing="1"/>
        <w:rPr>
          <w:rFonts w:eastAsia="Times New Roman"/>
          <w:lang w:val="en-US" w:eastAsia="en-GB"/>
        </w:rPr>
      </w:pPr>
      <w:r w:rsidRPr="00C0243F">
        <w:rPr>
          <w:rFonts w:eastAsia="Times New Roman"/>
          <w:b/>
          <w:bCs/>
          <w:u w:val="single"/>
          <w:lang w:val="en-US" w:eastAsia="en-GB"/>
        </w:rPr>
        <w:t>Observation 9</w:t>
      </w:r>
      <w:r w:rsidRPr="00C0243F">
        <w:rPr>
          <w:rFonts w:eastAsia="Times New Roman"/>
          <w:lang w:val="en-US" w:eastAsia="en-GB"/>
        </w:rPr>
        <w:t>: For intra-band con</w:t>
      </w:r>
      <w:r>
        <w:rPr>
          <w:rFonts w:eastAsia="Times New Roman"/>
          <w:lang w:val="en-US" w:eastAsia="en-GB"/>
        </w:rPr>
        <w:t>tiguous carrier aggregation, TAE shall not exceed 260ns and 130ns for BS type 1-C/BS type 1-H and BS type 2-O, respectively.</w:t>
      </w:r>
    </w:p>
    <w:p w14:paraId="2E299959" w14:textId="0BAB0894" w:rsidR="007D3FAB" w:rsidRDefault="007D3FAB" w:rsidP="007D3FAB">
      <w:pPr>
        <w:spacing w:before="100" w:beforeAutospacing="1" w:after="100" w:afterAutospacing="1"/>
        <w:rPr>
          <w:rFonts w:eastAsia="Times New Roman"/>
          <w:lang w:val="en-US" w:eastAsia="en-GB"/>
        </w:rPr>
      </w:pPr>
      <w:r w:rsidRPr="00C0243F">
        <w:rPr>
          <w:rFonts w:eastAsia="Times New Roman"/>
          <w:b/>
          <w:bCs/>
          <w:u w:val="single"/>
          <w:lang w:val="en-US" w:eastAsia="en-GB"/>
        </w:rPr>
        <w:t>Observation 10</w:t>
      </w:r>
      <w:r>
        <w:rPr>
          <w:rFonts w:eastAsia="Times New Roman"/>
          <w:lang w:val="en-US" w:eastAsia="en-GB"/>
        </w:rPr>
        <w:t xml:space="preserve">: For intra-band non-contiguous carrier aggregation, TAE shall not exceed </w:t>
      </w:r>
      <w:r w:rsidRPr="00E97E73">
        <w:rPr>
          <w:rFonts w:eastAsia="Times New Roman"/>
          <w:lang w:val="en-SE" w:eastAsia="en-GB"/>
        </w:rPr>
        <w:t>3μs</w:t>
      </w:r>
      <w:r w:rsidRPr="007D3FAB">
        <w:rPr>
          <w:rFonts w:eastAsia="Times New Roman"/>
          <w:lang w:val="en-US" w:eastAsia="en-GB"/>
        </w:rPr>
        <w:t xml:space="preserve"> for base</w:t>
      </w:r>
      <w:r>
        <w:rPr>
          <w:rFonts w:eastAsia="Times New Roman"/>
          <w:lang w:val="en-US" w:eastAsia="en-GB"/>
        </w:rPr>
        <w:t xml:space="preserve"> station types 1-C and 1-H and TAE shall not exceed 260ns for BS type 2-O.</w:t>
      </w:r>
    </w:p>
    <w:p w14:paraId="0CECB97C" w14:textId="679A3593" w:rsidR="007D3FAB" w:rsidRDefault="007D3FAB" w:rsidP="007D3FAB">
      <w:pPr>
        <w:spacing w:before="100" w:beforeAutospacing="1" w:after="100" w:afterAutospacing="1"/>
        <w:rPr>
          <w:rFonts w:eastAsia="Times New Roman"/>
          <w:lang w:val="en-SE" w:eastAsia="en-GB"/>
        </w:rPr>
      </w:pPr>
      <w:r w:rsidRPr="00C0243F">
        <w:rPr>
          <w:rFonts w:eastAsia="Times New Roman"/>
          <w:b/>
          <w:bCs/>
          <w:u w:val="single"/>
          <w:lang w:val="en-US" w:eastAsia="en-GB"/>
        </w:rPr>
        <w:t>Observation 11</w:t>
      </w:r>
      <w:r>
        <w:rPr>
          <w:rFonts w:eastAsia="Times New Roman"/>
          <w:lang w:val="en-US" w:eastAsia="en-GB"/>
        </w:rPr>
        <w:t xml:space="preserve">: </w:t>
      </w:r>
      <w:r w:rsidRPr="00E97E73">
        <w:rPr>
          <w:rFonts w:eastAsia="Times New Roman"/>
          <w:lang w:val="en-SE" w:eastAsia="en-GB"/>
        </w:rPr>
        <w:t>For inter-band carrier aggregation, TAE shall not exceed 3μs</w:t>
      </w:r>
      <w:r w:rsidRPr="007D3FAB">
        <w:rPr>
          <w:rFonts w:eastAsia="Times New Roman"/>
          <w:lang w:val="en-US" w:eastAsia="en-GB"/>
        </w:rPr>
        <w:t xml:space="preserve"> for BS type 1-C and BS type 1-H</w:t>
      </w:r>
      <w:r>
        <w:rPr>
          <w:rFonts w:eastAsia="Times New Roman"/>
          <w:lang w:val="en-US" w:eastAsia="en-GB"/>
        </w:rPr>
        <w:t xml:space="preserve"> and TAE shall not exceed </w:t>
      </w:r>
      <w:r w:rsidRPr="007D3FAB">
        <w:rPr>
          <w:rFonts w:eastAsia="Times New Roman"/>
          <w:lang w:val="en-US" w:eastAsia="en-GB"/>
        </w:rPr>
        <w:t>3μs for BS type 2-O</w:t>
      </w:r>
      <w:r w:rsidRPr="00E97E73">
        <w:rPr>
          <w:rFonts w:eastAsia="Times New Roman"/>
          <w:lang w:val="en-SE" w:eastAsia="en-GB"/>
        </w:rPr>
        <w:t>.</w:t>
      </w:r>
    </w:p>
    <w:p w14:paraId="53208A68" w14:textId="17DCE20B" w:rsidR="00C0243F" w:rsidRDefault="0054716F" w:rsidP="00C0243F">
      <w:pPr>
        <w:spacing w:before="100" w:beforeAutospacing="1" w:after="100" w:afterAutospacing="1"/>
        <w:rPr>
          <w:rFonts w:eastAsia="Times New Roman"/>
          <w:lang w:val="en-US" w:eastAsia="en-GB"/>
        </w:rPr>
      </w:pPr>
      <w:r w:rsidRPr="0054716F">
        <w:rPr>
          <w:rFonts w:eastAsia="Times New Roman"/>
          <w:lang w:val="en-US" w:eastAsia="en-GB"/>
        </w:rPr>
        <w:lastRenderedPageBreak/>
        <w:t xml:space="preserve">The TAE </w:t>
      </w:r>
      <w:r>
        <w:rPr>
          <w:rFonts w:eastAsia="Times New Roman"/>
          <w:lang w:val="en-US" w:eastAsia="en-GB"/>
        </w:rPr>
        <w:t xml:space="preserve">is higher for intra-band non-contiguous and </w:t>
      </w:r>
      <w:r w:rsidR="003424A0">
        <w:rPr>
          <w:rFonts w:eastAsia="Times New Roman"/>
          <w:lang w:val="en-US" w:eastAsia="en-GB"/>
        </w:rPr>
        <w:t xml:space="preserve">inter-band carrier aggregation. </w:t>
      </w:r>
      <w:r w:rsidR="00FF7739">
        <w:rPr>
          <w:rFonts w:eastAsia="Times New Roman"/>
          <w:lang w:val="en-US" w:eastAsia="en-GB"/>
        </w:rPr>
        <w:t xml:space="preserve">Higher TAE does not help achieving the intended accuracy improvement. </w:t>
      </w:r>
      <w:r w:rsidR="00C0080D">
        <w:rPr>
          <w:rFonts w:eastAsia="Times New Roman"/>
          <w:lang w:val="en-US" w:eastAsia="en-GB"/>
        </w:rPr>
        <w:t>Also b</w:t>
      </w:r>
      <w:r w:rsidRPr="0054716F">
        <w:rPr>
          <w:rFonts w:eastAsia="Times New Roman"/>
          <w:lang w:val="en-US" w:eastAsia="en-GB"/>
        </w:rPr>
        <w:t>ased on observations 6, 7, and 8 RAN</w:t>
      </w:r>
      <w:r>
        <w:rPr>
          <w:rFonts w:eastAsia="Times New Roman"/>
          <w:lang w:val="en-US" w:eastAsia="en-GB"/>
        </w:rPr>
        <w:t xml:space="preserve">4 shall study </w:t>
      </w:r>
      <w:r w:rsidRPr="0054716F">
        <w:rPr>
          <w:rFonts w:eastAsia="Times New Roman"/>
          <w:lang w:val="en-US" w:eastAsia="en-GB"/>
        </w:rPr>
        <w:t>solutions for accuracy improvement based on PRS</w:t>
      </w:r>
      <w:r>
        <w:rPr>
          <w:rFonts w:eastAsia="Times New Roman"/>
          <w:lang w:val="en-US" w:eastAsia="en-GB"/>
        </w:rPr>
        <w:t xml:space="preserve"> bandwidth aggregation </w:t>
      </w:r>
      <w:r w:rsidR="003424A0">
        <w:rPr>
          <w:rFonts w:eastAsia="Times New Roman"/>
          <w:lang w:val="en-US" w:eastAsia="en-GB"/>
        </w:rPr>
        <w:t xml:space="preserve">only for </w:t>
      </w:r>
      <w:r>
        <w:rPr>
          <w:rFonts w:eastAsia="Times New Roman"/>
          <w:lang w:val="en-US" w:eastAsia="en-GB"/>
        </w:rPr>
        <w:t>intra-band contiguous carriers</w:t>
      </w:r>
      <w:r w:rsidR="003424A0">
        <w:rPr>
          <w:rFonts w:eastAsia="Times New Roman"/>
          <w:lang w:val="en-US" w:eastAsia="en-GB"/>
        </w:rPr>
        <w:t>.</w:t>
      </w:r>
    </w:p>
    <w:p w14:paraId="46E843C0" w14:textId="01B52ED8" w:rsidR="00FF7739" w:rsidRDefault="003424A0" w:rsidP="003424A0">
      <w:pPr>
        <w:spacing w:before="100" w:beforeAutospacing="1" w:after="100" w:afterAutospacing="1"/>
        <w:rPr>
          <w:rFonts w:eastAsia="Times New Roman"/>
          <w:lang w:val="en-US" w:eastAsia="en-GB"/>
        </w:rPr>
      </w:pPr>
      <w:r w:rsidRPr="003424A0">
        <w:rPr>
          <w:rFonts w:eastAsia="Times New Roman"/>
          <w:b/>
          <w:bCs/>
          <w:u w:val="single"/>
          <w:lang w:val="en-US" w:eastAsia="en-GB"/>
        </w:rPr>
        <w:t>Proposal 1</w:t>
      </w:r>
      <w:r>
        <w:rPr>
          <w:rFonts w:eastAsia="Times New Roman"/>
          <w:lang w:val="en-US" w:eastAsia="en-GB"/>
        </w:rPr>
        <w:t>:</w:t>
      </w:r>
      <w:r w:rsidRPr="003424A0">
        <w:rPr>
          <w:rFonts w:eastAsia="Times New Roman"/>
          <w:lang w:val="en-US" w:eastAsia="en-GB"/>
        </w:rPr>
        <w:t xml:space="preserve"> </w:t>
      </w:r>
      <w:r w:rsidRPr="0054716F">
        <w:rPr>
          <w:rFonts w:eastAsia="Times New Roman"/>
          <w:lang w:val="en-US" w:eastAsia="en-GB"/>
        </w:rPr>
        <w:t>RAN</w:t>
      </w:r>
      <w:r>
        <w:rPr>
          <w:rFonts w:eastAsia="Times New Roman"/>
          <w:lang w:val="en-US" w:eastAsia="en-GB"/>
        </w:rPr>
        <w:t xml:space="preserve">4 to study </w:t>
      </w:r>
      <w:r w:rsidRPr="0054716F">
        <w:rPr>
          <w:rFonts w:eastAsia="Times New Roman"/>
          <w:lang w:val="en-US" w:eastAsia="en-GB"/>
        </w:rPr>
        <w:t>solutions for accuracy improvement based on PRS</w:t>
      </w:r>
      <w:r>
        <w:rPr>
          <w:rFonts w:eastAsia="Times New Roman"/>
          <w:lang w:val="en-US" w:eastAsia="en-GB"/>
        </w:rPr>
        <w:t xml:space="preserve"> bandwidth aggregation only for </w:t>
      </w:r>
      <w:r w:rsidRPr="009D29D9">
        <w:rPr>
          <w:rFonts w:eastAsia="Times New Roman"/>
          <w:u w:val="single"/>
          <w:lang w:val="en-US" w:eastAsia="en-GB"/>
        </w:rPr>
        <w:t>intra-band contiguous carriers</w:t>
      </w:r>
      <w:r>
        <w:rPr>
          <w:rFonts w:eastAsia="Times New Roman"/>
          <w:lang w:val="en-US" w:eastAsia="en-GB"/>
        </w:rPr>
        <w:t>.</w:t>
      </w:r>
    </w:p>
    <w:p w14:paraId="29095207" w14:textId="46917512" w:rsidR="0093685F" w:rsidRDefault="0093685F" w:rsidP="003424A0">
      <w:pPr>
        <w:spacing w:before="100" w:beforeAutospacing="1" w:after="100" w:afterAutospacing="1"/>
        <w:rPr>
          <w:lang w:val="en-US"/>
        </w:rPr>
      </w:pPr>
      <w:r>
        <w:rPr>
          <w:rFonts w:eastAsia="Times New Roman"/>
          <w:lang w:val="en-US" w:eastAsia="en-GB"/>
        </w:rPr>
        <w:t xml:space="preserve">TS38.101-1 </w:t>
      </w:r>
      <w:r w:rsidR="00FF7739">
        <w:rPr>
          <w:rFonts w:eastAsia="Times New Roman"/>
          <w:lang w:val="en-US" w:eastAsia="en-GB"/>
        </w:rPr>
        <w:t>has</w:t>
      </w:r>
      <w:r>
        <w:rPr>
          <w:rFonts w:eastAsia="Times New Roman"/>
          <w:lang w:val="en-US" w:eastAsia="en-GB"/>
        </w:rPr>
        <w:t xml:space="preserve"> define</w:t>
      </w:r>
      <w:r w:rsidR="00FF7739">
        <w:rPr>
          <w:rFonts w:eastAsia="Times New Roman"/>
          <w:lang w:val="en-US" w:eastAsia="en-GB"/>
        </w:rPr>
        <w:t>d</w:t>
      </w:r>
      <w:r>
        <w:rPr>
          <w:rFonts w:eastAsia="Times New Roman"/>
          <w:lang w:val="en-US" w:eastAsia="en-GB"/>
        </w:rPr>
        <w:t xml:space="preserve"> the following timing alignment requirement for UL</w:t>
      </w:r>
      <w:r w:rsidR="00FF7739">
        <w:rPr>
          <w:rFonts w:eastAsia="Times New Roman"/>
          <w:lang w:val="en-US" w:eastAsia="en-GB"/>
        </w:rPr>
        <w:t xml:space="preserve"> intra-band contiguous CA</w:t>
      </w:r>
      <w:r w:rsidR="004311C5">
        <w:rPr>
          <w:rFonts w:eastAsia="Times New Roman"/>
          <w:lang w:val="en-US" w:eastAsia="en-GB"/>
        </w:rPr>
        <w:t xml:space="preserve"> [3]</w:t>
      </w:r>
      <w:r w:rsidR="00FF7739">
        <w:rPr>
          <w:rFonts w:eastAsia="Times New Roman"/>
          <w:lang w:val="en-US" w:eastAsia="en-GB"/>
        </w:rPr>
        <w:t>.</w:t>
      </w:r>
    </w:p>
    <w:p w14:paraId="4A8F209C" w14:textId="2705865D" w:rsidR="00FF7739" w:rsidRPr="00FF7739" w:rsidRDefault="00FF7739" w:rsidP="00FF7739">
      <w:pPr>
        <w:spacing w:before="100" w:beforeAutospacing="1" w:after="100" w:afterAutospacing="1"/>
        <w:rPr>
          <w:rFonts w:eastAsia="Times New Roman"/>
          <w:b/>
          <w:bCs/>
          <w:u w:val="single"/>
          <w:lang w:val="en-SE" w:eastAsia="en-GB"/>
        </w:rPr>
      </w:pPr>
      <w:r w:rsidRPr="00FF7739">
        <w:rPr>
          <w:rFonts w:eastAsia="Times New Roman"/>
          <w:b/>
          <w:bCs/>
          <w:u w:val="single"/>
          <w:lang w:val="en-SE" w:eastAsia="en-GB"/>
        </w:rPr>
        <w:t xml:space="preserve">Time alignment error for intra-band UL contiguous CA for UL MIMO </w:t>
      </w:r>
    </w:p>
    <w:p w14:paraId="09753CE6" w14:textId="77777777" w:rsidR="00FF7739" w:rsidRDefault="00FF7739" w:rsidP="00FF7739">
      <w:pPr>
        <w:spacing w:before="100" w:beforeAutospacing="1" w:after="100" w:afterAutospacing="1"/>
        <w:rPr>
          <w:rFonts w:eastAsia="Times New Roman"/>
          <w:lang w:val="en-SE" w:eastAsia="en-GB"/>
        </w:rPr>
      </w:pPr>
      <w:r w:rsidRPr="00FF7739">
        <w:rPr>
          <w:rFonts w:eastAsia="Times New Roman"/>
          <w:lang w:val="en-SE" w:eastAsia="en-GB"/>
        </w:rPr>
        <w:t>For intra-band UL contiguous CA and UE(s) with multiple transmit antenna connectors supporting UL MIMO, this requirement applies as specified in 6.4D.3: The time alignment error (TAE) is defined as the average frame timing difference between any two transmissions on different transmit antenna connectors for each CC. For UE(s) with multiple transmit antenna connectors, the Time Alignment Error (TAE) shall not exceed 130 ns.</w:t>
      </w:r>
    </w:p>
    <w:p w14:paraId="10D5D851" w14:textId="2FDC6158" w:rsidR="00353AF1" w:rsidRPr="00C0080D" w:rsidRDefault="00FF7739" w:rsidP="00C0080D">
      <w:pPr>
        <w:spacing w:before="100" w:beforeAutospacing="1" w:after="100" w:afterAutospacing="1"/>
        <w:rPr>
          <w:rFonts w:eastAsia="Times New Roman"/>
          <w:lang w:val="en-SE" w:eastAsia="en-GB"/>
        </w:rPr>
      </w:pPr>
      <w:r w:rsidRPr="00FF7739">
        <w:rPr>
          <w:rFonts w:eastAsia="Times New Roman"/>
          <w:b/>
          <w:bCs/>
          <w:u w:val="single"/>
          <w:lang w:val="en-US" w:eastAsia="en-GB"/>
        </w:rPr>
        <w:t>Proposal 2</w:t>
      </w:r>
      <w:r w:rsidRPr="00FF7739">
        <w:rPr>
          <w:rFonts w:eastAsia="Times New Roman"/>
          <w:lang w:val="en-US" w:eastAsia="en-GB"/>
        </w:rPr>
        <w:t xml:space="preserve">: </w:t>
      </w:r>
      <w:r w:rsidRPr="0054716F">
        <w:rPr>
          <w:rFonts w:eastAsia="Times New Roman"/>
          <w:lang w:val="en-US" w:eastAsia="en-GB"/>
        </w:rPr>
        <w:t>RAN</w:t>
      </w:r>
      <w:r>
        <w:rPr>
          <w:rFonts w:eastAsia="Times New Roman"/>
          <w:lang w:val="en-US" w:eastAsia="en-GB"/>
        </w:rPr>
        <w:t xml:space="preserve">4 to study </w:t>
      </w:r>
      <w:r w:rsidRPr="0054716F">
        <w:rPr>
          <w:rFonts w:eastAsia="Times New Roman"/>
          <w:lang w:val="en-US" w:eastAsia="en-GB"/>
        </w:rPr>
        <w:t xml:space="preserve">solutions for accuracy improvement based on </w:t>
      </w:r>
      <w:r>
        <w:rPr>
          <w:rFonts w:eastAsia="Times New Roman"/>
          <w:lang w:val="en-US" w:eastAsia="en-GB"/>
        </w:rPr>
        <w:t xml:space="preserve">SRS bandwidth aggregation only for </w:t>
      </w:r>
      <w:r w:rsidRPr="009D29D9">
        <w:rPr>
          <w:rFonts w:eastAsia="Times New Roman"/>
          <w:u w:val="single"/>
          <w:lang w:val="en-US" w:eastAsia="en-GB"/>
        </w:rPr>
        <w:t>intra-band contiguous carriers</w:t>
      </w:r>
      <w:r>
        <w:rPr>
          <w:rFonts w:eastAsia="Times New Roman"/>
          <w:u w:val="single"/>
          <w:lang w:val="en-US" w:eastAsia="en-GB"/>
        </w:rPr>
        <w:t>.</w:t>
      </w:r>
    </w:p>
    <w:p w14:paraId="77B80304" w14:textId="03C68733" w:rsidR="00B646FA" w:rsidRPr="00910E13" w:rsidRDefault="00B646FA" w:rsidP="00B646FA">
      <w:pPr>
        <w:spacing w:after="0"/>
        <w:rPr>
          <w:lang w:val="en-US"/>
        </w:rPr>
      </w:pPr>
    </w:p>
    <w:p w14:paraId="49E93E51" w14:textId="77777777" w:rsidR="00E80B52" w:rsidRPr="00910E13" w:rsidRDefault="00C53B74" w:rsidP="00805BE8">
      <w:pPr>
        <w:pStyle w:val="Heading1"/>
        <w:rPr>
          <w:lang w:val="en-US" w:eastAsia="ja-JP"/>
        </w:rPr>
      </w:pPr>
      <w:r w:rsidRPr="00910E13">
        <w:rPr>
          <w:lang w:val="en-US" w:eastAsia="ja-JP"/>
        </w:rPr>
        <w:t>Summary</w:t>
      </w:r>
    </w:p>
    <w:p w14:paraId="23E51B40" w14:textId="306106FD" w:rsidR="00ED4F5C" w:rsidRDefault="00E473B8" w:rsidP="00C53B74">
      <w:pPr>
        <w:rPr>
          <w:lang w:val="en-US" w:eastAsia="ja-JP"/>
        </w:rPr>
      </w:pPr>
      <w:r w:rsidRPr="00910E13">
        <w:rPr>
          <w:lang w:val="en-US" w:eastAsia="ja-JP"/>
        </w:rPr>
        <w:t xml:space="preserve">In this contribution following </w:t>
      </w:r>
      <w:r w:rsidR="000807C1">
        <w:rPr>
          <w:lang w:val="en-US" w:eastAsia="ja-JP"/>
        </w:rPr>
        <w:t xml:space="preserve">observations and </w:t>
      </w:r>
      <w:r w:rsidRPr="00910E13">
        <w:rPr>
          <w:lang w:val="en-US" w:eastAsia="ja-JP"/>
        </w:rPr>
        <w:t>proposals are made:</w:t>
      </w:r>
    </w:p>
    <w:p w14:paraId="04C3A5BC" w14:textId="77777777" w:rsidR="000807C1" w:rsidRPr="00910E13" w:rsidRDefault="000807C1" w:rsidP="000807C1">
      <w:pPr>
        <w:spacing w:line="259" w:lineRule="auto"/>
        <w:rPr>
          <w:lang w:val="en-US"/>
        </w:rPr>
      </w:pPr>
      <w:r w:rsidRPr="00910E13">
        <w:rPr>
          <w:b/>
          <w:bCs/>
          <w:u w:val="single"/>
          <w:lang w:val="en-US"/>
        </w:rPr>
        <w:t>Observation 1</w:t>
      </w:r>
      <w:r w:rsidRPr="00910E13">
        <w:rPr>
          <w:lang w:val="en-US"/>
        </w:rPr>
        <w:t xml:space="preserve">: Cramér-Rao lower bound on the ToA error variance scales to the inverse square of the </w:t>
      </w:r>
      <w:r>
        <w:rPr>
          <w:lang w:val="en-US"/>
        </w:rPr>
        <w:t>PRS bandwidth</w:t>
      </w:r>
      <w:r w:rsidRPr="00910E13">
        <w:rPr>
          <w:lang w:val="en-US"/>
        </w:rPr>
        <w:t xml:space="preserve"> under the fixed Tx power assumption.</w:t>
      </w:r>
    </w:p>
    <w:p w14:paraId="60B9DD6F" w14:textId="77777777" w:rsidR="000807C1" w:rsidRPr="00910E13" w:rsidRDefault="000807C1" w:rsidP="000807C1">
      <w:pPr>
        <w:spacing w:line="259" w:lineRule="auto"/>
        <w:rPr>
          <w:lang w:val="en-US"/>
        </w:rPr>
      </w:pPr>
      <w:r w:rsidRPr="00910E13">
        <w:rPr>
          <w:b/>
          <w:bCs/>
          <w:u w:val="single"/>
          <w:lang w:val="en-US"/>
        </w:rPr>
        <w:t xml:space="preserve">Observation </w:t>
      </w:r>
      <w:r>
        <w:rPr>
          <w:b/>
          <w:bCs/>
          <w:u w:val="single"/>
          <w:lang w:val="en-US"/>
        </w:rPr>
        <w:t>2</w:t>
      </w:r>
      <w:r w:rsidRPr="00910E13">
        <w:rPr>
          <w:lang w:val="en-US"/>
        </w:rPr>
        <w:t xml:space="preserve">: The ToA error variance is inversely proportional to the number of consecutive PRS resources (which is seen if we interpret the PFLs </w:t>
      </w:r>
      <m:oMath>
        <m:r>
          <w:rPr>
            <w:rFonts w:ascii="Cambria Math" w:hAnsi="Cambria Math"/>
            <w:lang w:val="en-US"/>
          </w:rPr>
          <m:t>l=1,2,…,m</m:t>
        </m:r>
      </m:oMath>
      <w:r w:rsidRPr="00910E13">
        <w:rPr>
          <w:lang w:val="en-US"/>
        </w:rPr>
        <w:t xml:space="preserve"> as different PRS resources with the same </w:t>
      </w:r>
      <w:r>
        <w:rPr>
          <w:lang w:val="en-US"/>
        </w:rPr>
        <w:t>bandwidth</w:t>
      </w:r>
      <w:r w:rsidRPr="00910E13">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l</m:t>
            </m:r>
          </m:sub>
        </m:sSub>
        <m:r>
          <w:rPr>
            <w:rFonts w:ascii="Cambria Math" w:hAnsi="Cambria Math"/>
            <w:lang w:val="en-US"/>
          </w:rPr>
          <m:t>=n</m:t>
        </m:r>
      </m:oMath>
      <w:r w:rsidRPr="00910E13">
        <w:rPr>
          <w:lang w:val="en-US"/>
        </w:rPr>
        <w:t>).</w:t>
      </w:r>
    </w:p>
    <w:p w14:paraId="5570D7BF" w14:textId="77777777" w:rsidR="000807C1" w:rsidRPr="00910E13" w:rsidRDefault="000807C1" w:rsidP="000807C1">
      <w:pPr>
        <w:spacing w:line="259" w:lineRule="auto"/>
        <w:rPr>
          <w:lang w:val="en-US"/>
        </w:rPr>
      </w:pPr>
      <w:r w:rsidRPr="00910E13">
        <w:rPr>
          <w:b/>
          <w:bCs/>
          <w:u w:val="single"/>
          <w:lang w:val="en-US"/>
        </w:rPr>
        <w:t xml:space="preserve">Observation </w:t>
      </w:r>
      <w:r>
        <w:rPr>
          <w:b/>
          <w:bCs/>
          <w:u w:val="single"/>
          <w:lang w:val="en-US"/>
        </w:rPr>
        <w:t>3</w:t>
      </w:r>
      <w:r w:rsidRPr="00910E13">
        <w:rPr>
          <w:lang w:val="en-US"/>
        </w:rPr>
        <w:t xml:space="preserve">: If the number of PRS resources is doubled (for example, from a 1-slot staggered </w:t>
      </w:r>
      <w:r w:rsidRPr="00910E13">
        <w:rPr>
          <w:i/>
          <w:iCs/>
          <w:lang w:val="en-US"/>
        </w:rPr>
        <w:t>comb-k</w:t>
      </w:r>
      <w:r w:rsidRPr="00910E13">
        <w:rPr>
          <w:lang w:val="en-US"/>
        </w:rPr>
        <w:t xml:space="preserve"> PRS to a 2-slot staggered </w:t>
      </w:r>
      <w:r w:rsidRPr="00910E13">
        <w:rPr>
          <w:i/>
          <w:iCs/>
          <w:lang w:val="en-US"/>
        </w:rPr>
        <w:t>comb-k</w:t>
      </w:r>
      <w:r w:rsidRPr="00910E13">
        <w:rPr>
          <w:lang w:val="en-US"/>
        </w:rPr>
        <w:t xml:space="preserve"> PRS at the same </w:t>
      </w:r>
      <w:r>
        <w:rPr>
          <w:lang w:val="en-US"/>
        </w:rPr>
        <w:t>bandwidth</w:t>
      </w:r>
      <w:r w:rsidRPr="00910E13">
        <w:rPr>
          <w:lang w:val="en-US"/>
        </w:rPr>
        <w:t>), the ToA error variance is halved.</w:t>
      </w:r>
    </w:p>
    <w:p w14:paraId="65118DDB" w14:textId="77777777" w:rsidR="000807C1" w:rsidRDefault="000807C1" w:rsidP="000807C1">
      <w:pPr>
        <w:spacing w:line="259" w:lineRule="auto"/>
        <w:rPr>
          <w:lang w:val="en-US"/>
        </w:rPr>
      </w:pPr>
      <w:r w:rsidRPr="00910E13">
        <w:rPr>
          <w:b/>
          <w:bCs/>
          <w:u w:val="single"/>
          <w:lang w:val="en-US"/>
        </w:rPr>
        <w:t xml:space="preserve">Observation </w:t>
      </w:r>
      <w:r>
        <w:rPr>
          <w:b/>
          <w:bCs/>
          <w:u w:val="single"/>
          <w:lang w:val="en-US"/>
        </w:rPr>
        <w:t>4</w:t>
      </w:r>
      <w:r w:rsidRPr="00910E13">
        <w:rPr>
          <w:lang w:val="en-US"/>
        </w:rPr>
        <w:t xml:space="preserve">: ToA error variance decreases faster with increase in </w:t>
      </w:r>
      <w:r>
        <w:rPr>
          <w:lang w:val="en-US"/>
        </w:rPr>
        <w:t>bandwidth</w:t>
      </w:r>
      <w:r w:rsidRPr="00910E13">
        <w:rPr>
          <w:lang w:val="en-US"/>
        </w:rPr>
        <w:t xml:space="preserve"> than increasing PRS resources in the time dimension.</w:t>
      </w:r>
    </w:p>
    <w:p w14:paraId="6D7BF1BB" w14:textId="77777777" w:rsidR="000807C1" w:rsidRDefault="000807C1" w:rsidP="000807C1">
      <w:pPr>
        <w:spacing w:line="259" w:lineRule="auto"/>
        <w:rPr>
          <w:lang w:val="en-US"/>
        </w:rPr>
      </w:pPr>
      <w:r w:rsidRPr="00445B93">
        <w:rPr>
          <w:b/>
          <w:bCs/>
          <w:u w:val="single"/>
          <w:lang w:val="en-US"/>
        </w:rPr>
        <w:t>Observation 5</w:t>
      </w:r>
      <w:r>
        <w:rPr>
          <w:lang w:val="en-US"/>
        </w:rPr>
        <w:t xml:space="preserve">: Increased PRS bandwidth by aggregating PRS resources from multiple PFLs helps improve RSTD and UE Rx-Tx measurement accuracy. </w:t>
      </w:r>
    </w:p>
    <w:p w14:paraId="46F597B5" w14:textId="77777777" w:rsidR="000807C1" w:rsidRDefault="000807C1" w:rsidP="000807C1">
      <w:pPr>
        <w:spacing w:line="259" w:lineRule="auto"/>
        <w:rPr>
          <w:lang w:val="en-US"/>
        </w:rPr>
      </w:pPr>
      <w:r w:rsidRPr="00910E13">
        <w:rPr>
          <w:b/>
          <w:bCs/>
          <w:u w:val="single"/>
          <w:lang w:val="en-US"/>
        </w:rPr>
        <w:t>Observation 6</w:t>
      </w:r>
      <w:r w:rsidRPr="00910E13">
        <w:rPr>
          <w:lang w:val="en-US"/>
        </w:rPr>
        <w:t xml:space="preserve">: The total PRS </w:t>
      </w:r>
      <w:r>
        <w:rPr>
          <w:lang w:val="en-US"/>
        </w:rPr>
        <w:t>bandwidth</w:t>
      </w:r>
      <w:r w:rsidRPr="00910E13">
        <w:rPr>
          <w:lang w:val="en-US"/>
        </w:rPr>
        <w:t xml:space="preserve"> after aggregation does not enhance achievable ToA accuracy if the </w:t>
      </w:r>
      <w:r>
        <w:rPr>
          <w:lang w:val="en-US"/>
        </w:rPr>
        <w:t xml:space="preserve">aggregated PRS resources in different </w:t>
      </w:r>
      <w:r w:rsidRPr="00910E13">
        <w:rPr>
          <w:lang w:val="en-US"/>
        </w:rPr>
        <w:t>PFL that are combined are non-coherent in phase.</w:t>
      </w:r>
    </w:p>
    <w:p w14:paraId="56C9CF7F" w14:textId="77777777" w:rsidR="000807C1" w:rsidRDefault="000807C1" w:rsidP="000807C1">
      <w:pPr>
        <w:spacing w:line="259" w:lineRule="auto"/>
        <w:rPr>
          <w:lang w:val="en-US"/>
        </w:rPr>
      </w:pPr>
      <w:r w:rsidRPr="00F13C6A">
        <w:rPr>
          <w:b/>
          <w:bCs/>
          <w:u w:val="single"/>
          <w:lang w:val="en-US"/>
        </w:rPr>
        <w:t>Observation 7</w:t>
      </w:r>
      <w:r>
        <w:rPr>
          <w:lang w:val="en-US"/>
        </w:rPr>
        <w:t>: Maintaining phase consistency between the PRS resources in different PFLs is easier when PFLs are within the same band and are contiguous.</w:t>
      </w:r>
    </w:p>
    <w:p w14:paraId="70F0AF70" w14:textId="77777777" w:rsidR="000807C1" w:rsidRDefault="000807C1" w:rsidP="000807C1">
      <w:pPr>
        <w:spacing w:line="259" w:lineRule="auto"/>
        <w:rPr>
          <w:lang w:val="en-US"/>
        </w:rPr>
      </w:pPr>
      <w:r w:rsidRPr="00F73B38">
        <w:rPr>
          <w:b/>
          <w:bCs/>
          <w:u w:val="single"/>
          <w:lang w:val="en-US"/>
        </w:rPr>
        <w:t xml:space="preserve">Observation </w:t>
      </w:r>
      <w:r>
        <w:rPr>
          <w:b/>
          <w:bCs/>
          <w:u w:val="single"/>
          <w:lang w:val="en-US"/>
        </w:rPr>
        <w:t>8</w:t>
      </w:r>
      <w:r>
        <w:rPr>
          <w:lang w:val="en-US"/>
        </w:rPr>
        <w:t>: Timing alignment between PRS resources transmitted in different PFLs impact achievable ToA accuracy.</w:t>
      </w:r>
    </w:p>
    <w:p w14:paraId="46F48FA7" w14:textId="0D4025A4" w:rsidR="000807C1" w:rsidRDefault="000807C1" w:rsidP="000807C1">
      <w:pPr>
        <w:spacing w:line="259" w:lineRule="auto"/>
        <w:rPr>
          <w:rFonts w:eastAsia="Times New Roman"/>
          <w:lang w:val="en-US" w:eastAsia="en-GB"/>
        </w:rPr>
      </w:pPr>
      <w:r w:rsidRPr="00C0243F">
        <w:rPr>
          <w:rFonts w:eastAsia="Times New Roman"/>
          <w:b/>
          <w:bCs/>
          <w:u w:val="single"/>
          <w:lang w:val="en-US" w:eastAsia="en-GB"/>
        </w:rPr>
        <w:t>Observation 9</w:t>
      </w:r>
      <w:r w:rsidRPr="00C0243F">
        <w:rPr>
          <w:rFonts w:eastAsia="Times New Roman"/>
          <w:lang w:val="en-US" w:eastAsia="en-GB"/>
        </w:rPr>
        <w:t>: For intra-band con</w:t>
      </w:r>
      <w:r>
        <w:rPr>
          <w:rFonts w:eastAsia="Times New Roman"/>
          <w:lang w:val="en-US" w:eastAsia="en-GB"/>
        </w:rPr>
        <w:t>tiguous carrier aggregation, TAE shall not exceed 260ns and 130ns for BS type 1-C/BS type 1-H and BS type 2-O, respectively.</w:t>
      </w:r>
    </w:p>
    <w:p w14:paraId="2F37D4C8" w14:textId="77777777" w:rsidR="000807C1" w:rsidRDefault="000807C1" w:rsidP="000807C1">
      <w:pPr>
        <w:spacing w:before="100" w:beforeAutospacing="1" w:after="100" w:afterAutospacing="1"/>
        <w:rPr>
          <w:rFonts w:eastAsia="Times New Roman"/>
          <w:lang w:val="en-US" w:eastAsia="en-GB"/>
        </w:rPr>
      </w:pPr>
      <w:r w:rsidRPr="00C0243F">
        <w:rPr>
          <w:rFonts w:eastAsia="Times New Roman"/>
          <w:b/>
          <w:bCs/>
          <w:u w:val="single"/>
          <w:lang w:val="en-US" w:eastAsia="en-GB"/>
        </w:rPr>
        <w:t>Observation 10</w:t>
      </w:r>
      <w:r>
        <w:rPr>
          <w:rFonts w:eastAsia="Times New Roman"/>
          <w:lang w:val="en-US" w:eastAsia="en-GB"/>
        </w:rPr>
        <w:t xml:space="preserve">: For intra-band non-contiguous carrier aggregation, TAE shall not exceed </w:t>
      </w:r>
      <w:r w:rsidRPr="00E97E73">
        <w:rPr>
          <w:rFonts w:eastAsia="Times New Roman"/>
          <w:lang w:val="en-SE" w:eastAsia="en-GB"/>
        </w:rPr>
        <w:t>3μs</w:t>
      </w:r>
      <w:r w:rsidRPr="007D3FAB">
        <w:rPr>
          <w:rFonts w:eastAsia="Times New Roman"/>
          <w:lang w:val="en-US" w:eastAsia="en-GB"/>
        </w:rPr>
        <w:t xml:space="preserve"> for base</w:t>
      </w:r>
      <w:r>
        <w:rPr>
          <w:rFonts w:eastAsia="Times New Roman"/>
          <w:lang w:val="en-US" w:eastAsia="en-GB"/>
        </w:rPr>
        <w:t xml:space="preserve"> station types 1-C and 1-H and TAE shall not exceed 260ns for BS type 2-O.</w:t>
      </w:r>
    </w:p>
    <w:p w14:paraId="0BEAD1B4" w14:textId="77777777" w:rsidR="000807C1" w:rsidRDefault="000807C1" w:rsidP="000807C1">
      <w:pPr>
        <w:spacing w:before="100" w:beforeAutospacing="1" w:after="100" w:afterAutospacing="1"/>
        <w:rPr>
          <w:rFonts w:eastAsia="Times New Roman"/>
          <w:lang w:val="en-SE" w:eastAsia="en-GB"/>
        </w:rPr>
      </w:pPr>
      <w:r w:rsidRPr="00C0243F">
        <w:rPr>
          <w:rFonts w:eastAsia="Times New Roman"/>
          <w:b/>
          <w:bCs/>
          <w:u w:val="single"/>
          <w:lang w:val="en-US" w:eastAsia="en-GB"/>
        </w:rPr>
        <w:t>Observation 11</w:t>
      </w:r>
      <w:r>
        <w:rPr>
          <w:rFonts w:eastAsia="Times New Roman"/>
          <w:lang w:val="en-US" w:eastAsia="en-GB"/>
        </w:rPr>
        <w:t xml:space="preserve">: </w:t>
      </w:r>
      <w:r w:rsidRPr="00E97E73">
        <w:rPr>
          <w:rFonts w:eastAsia="Times New Roman"/>
          <w:lang w:val="en-SE" w:eastAsia="en-GB"/>
        </w:rPr>
        <w:t>For inter-band carrier aggregation, TAE shall not exceed 3μs</w:t>
      </w:r>
      <w:r w:rsidRPr="007D3FAB">
        <w:rPr>
          <w:rFonts w:eastAsia="Times New Roman"/>
          <w:lang w:val="en-US" w:eastAsia="en-GB"/>
        </w:rPr>
        <w:t xml:space="preserve"> for BS type 1-C and BS type 1-H</w:t>
      </w:r>
      <w:r>
        <w:rPr>
          <w:rFonts w:eastAsia="Times New Roman"/>
          <w:lang w:val="en-US" w:eastAsia="en-GB"/>
        </w:rPr>
        <w:t xml:space="preserve"> and TAE shall not exceed </w:t>
      </w:r>
      <w:r w:rsidRPr="007D3FAB">
        <w:rPr>
          <w:rFonts w:eastAsia="Times New Roman"/>
          <w:lang w:val="en-US" w:eastAsia="en-GB"/>
        </w:rPr>
        <w:t>3μs for BS type 2-O</w:t>
      </w:r>
      <w:r w:rsidRPr="00E97E73">
        <w:rPr>
          <w:rFonts w:eastAsia="Times New Roman"/>
          <w:lang w:val="en-SE" w:eastAsia="en-GB"/>
        </w:rPr>
        <w:t>.</w:t>
      </w:r>
    </w:p>
    <w:p w14:paraId="4A7BA016" w14:textId="77777777" w:rsidR="000807C1" w:rsidRDefault="000807C1" w:rsidP="000807C1">
      <w:pPr>
        <w:spacing w:before="100" w:beforeAutospacing="1" w:after="100" w:afterAutospacing="1"/>
        <w:rPr>
          <w:rFonts w:eastAsia="Times New Roman"/>
          <w:lang w:val="en-US" w:eastAsia="en-GB"/>
        </w:rPr>
      </w:pPr>
      <w:r w:rsidRPr="003424A0">
        <w:rPr>
          <w:rFonts w:eastAsia="Times New Roman"/>
          <w:b/>
          <w:bCs/>
          <w:u w:val="single"/>
          <w:lang w:val="en-US" w:eastAsia="en-GB"/>
        </w:rPr>
        <w:t>Proposal 1</w:t>
      </w:r>
      <w:r>
        <w:rPr>
          <w:rFonts w:eastAsia="Times New Roman"/>
          <w:lang w:val="en-US" w:eastAsia="en-GB"/>
        </w:rPr>
        <w:t>:</w:t>
      </w:r>
      <w:r w:rsidRPr="003424A0">
        <w:rPr>
          <w:rFonts w:eastAsia="Times New Roman"/>
          <w:lang w:val="en-US" w:eastAsia="en-GB"/>
        </w:rPr>
        <w:t xml:space="preserve"> </w:t>
      </w:r>
      <w:r w:rsidRPr="0054716F">
        <w:rPr>
          <w:rFonts w:eastAsia="Times New Roman"/>
          <w:lang w:val="en-US" w:eastAsia="en-GB"/>
        </w:rPr>
        <w:t>RAN</w:t>
      </w:r>
      <w:r>
        <w:rPr>
          <w:rFonts w:eastAsia="Times New Roman"/>
          <w:lang w:val="en-US" w:eastAsia="en-GB"/>
        </w:rPr>
        <w:t xml:space="preserve">4 to study </w:t>
      </w:r>
      <w:r w:rsidRPr="0054716F">
        <w:rPr>
          <w:rFonts w:eastAsia="Times New Roman"/>
          <w:lang w:val="en-US" w:eastAsia="en-GB"/>
        </w:rPr>
        <w:t>solutions for accuracy improvement based on PRS</w:t>
      </w:r>
      <w:r>
        <w:rPr>
          <w:rFonts w:eastAsia="Times New Roman"/>
          <w:lang w:val="en-US" w:eastAsia="en-GB"/>
        </w:rPr>
        <w:t xml:space="preserve"> bandwidth aggregation only for </w:t>
      </w:r>
      <w:r w:rsidRPr="009D29D9">
        <w:rPr>
          <w:rFonts w:eastAsia="Times New Roman"/>
          <w:u w:val="single"/>
          <w:lang w:val="en-US" w:eastAsia="en-GB"/>
        </w:rPr>
        <w:t>intra-band contiguous carriers</w:t>
      </w:r>
      <w:r>
        <w:rPr>
          <w:rFonts w:eastAsia="Times New Roman"/>
          <w:lang w:val="en-US" w:eastAsia="en-GB"/>
        </w:rPr>
        <w:t>.</w:t>
      </w:r>
    </w:p>
    <w:p w14:paraId="03B94097" w14:textId="77777777" w:rsidR="000807C1" w:rsidRPr="00C0080D" w:rsidRDefault="000807C1" w:rsidP="000807C1">
      <w:pPr>
        <w:spacing w:before="100" w:beforeAutospacing="1" w:after="100" w:afterAutospacing="1"/>
        <w:rPr>
          <w:rFonts w:eastAsia="Times New Roman"/>
          <w:lang w:val="en-SE" w:eastAsia="en-GB"/>
        </w:rPr>
      </w:pPr>
      <w:r w:rsidRPr="00FF7739">
        <w:rPr>
          <w:rFonts w:eastAsia="Times New Roman"/>
          <w:b/>
          <w:bCs/>
          <w:u w:val="single"/>
          <w:lang w:val="en-US" w:eastAsia="en-GB"/>
        </w:rPr>
        <w:t>Proposal 2</w:t>
      </w:r>
      <w:r w:rsidRPr="00FF7739">
        <w:rPr>
          <w:rFonts w:eastAsia="Times New Roman"/>
          <w:lang w:val="en-US" w:eastAsia="en-GB"/>
        </w:rPr>
        <w:t xml:space="preserve">: </w:t>
      </w:r>
      <w:r w:rsidRPr="0054716F">
        <w:rPr>
          <w:rFonts w:eastAsia="Times New Roman"/>
          <w:lang w:val="en-US" w:eastAsia="en-GB"/>
        </w:rPr>
        <w:t>RAN</w:t>
      </w:r>
      <w:r>
        <w:rPr>
          <w:rFonts w:eastAsia="Times New Roman"/>
          <w:lang w:val="en-US" w:eastAsia="en-GB"/>
        </w:rPr>
        <w:t xml:space="preserve">4 to study </w:t>
      </w:r>
      <w:r w:rsidRPr="0054716F">
        <w:rPr>
          <w:rFonts w:eastAsia="Times New Roman"/>
          <w:lang w:val="en-US" w:eastAsia="en-GB"/>
        </w:rPr>
        <w:t xml:space="preserve">solutions for accuracy improvement based on </w:t>
      </w:r>
      <w:r>
        <w:rPr>
          <w:rFonts w:eastAsia="Times New Roman"/>
          <w:lang w:val="en-US" w:eastAsia="en-GB"/>
        </w:rPr>
        <w:t xml:space="preserve">SRS bandwidth aggregation only for </w:t>
      </w:r>
      <w:r w:rsidRPr="009D29D9">
        <w:rPr>
          <w:rFonts w:eastAsia="Times New Roman"/>
          <w:u w:val="single"/>
          <w:lang w:val="en-US" w:eastAsia="en-GB"/>
        </w:rPr>
        <w:t>intra-band contiguous carriers</w:t>
      </w:r>
      <w:r>
        <w:rPr>
          <w:rFonts w:eastAsia="Times New Roman"/>
          <w:u w:val="single"/>
          <w:lang w:val="en-US" w:eastAsia="en-GB"/>
        </w:rPr>
        <w:t>.</w:t>
      </w:r>
    </w:p>
    <w:p w14:paraId="111AE0F6" w14:textId="77777777" w:rsidR="009B6303" w:rsidRPr="00910E13" w:rsidRDefault="009B6303" w:rsidP="009B6303">
      <w:pPr>
        <w:pStyle w:val="Heading1"/>
        <w:rPr>
          <w:lang w:val="en-US"/>
        </w:rPr>
      </w:pPr>
      <w:r w:rsidRPr="00910E13">
        <w:rPr>
          <w:lang w:val="en-US"/>
        </w:rPr>
        <w:lastRenderedPageBreak/>
        <w:t>References</w:t>
      </w:r>
    </w:p>
    <w:p w14:paraId="4F34F065" w14:textId="5555F668" w:rsidR="009B6303" w:rsidRDefault="00CD7249" w:rsidP="00A76EF3">
      <w:pPr>
        <w:rPr>
          <w:lang w:val="en-US"/>
        </w:rPr>
      </w:pPr>
      <w:r>
        <w:rPr>
          <w:lang w:val="en-US"/>
        </w:rPr>
        <w:t xml:space="preserve">[1] </w:t>
      </w:r>
      <w:r w:rsidR="00A76EF3" w:rsidRPr="00A76EF3">
        <w:rPr>
          <w:lang w:val="en-US"/>
        </w:rPr>
        <w:t>RP-213588</w:t>
      </w:r>
      <w:r w:rsidR="00A76EF3">
        <w:rPr>
          <w:lang w:val="en-US"/>
        </w:rPr>
        <w:t>, “</w:t>
      </w:r>
      <w:r w:rsidR="00A76EF3" w:rsidRPr="00A76EF3">
        <w:rPr>
          <w:lang w:val="en-US"/>
        </w:rPr>
        <w:t>Revised SID on Study on expanded and improved NR positioning</w:t>
      </w:r>
      <w:r w:rsidR="00A76EF3">
        <w:rPr>
          <w:lang w:val="en-US"/>
        </w:rPr>
        <w:t>”, Intel.</w:t>
      </w:r>
    </w:p>
    <w:p w14:paraId="579CBEB4" w14:textId="65454C20" w:rsidR="009A64B3" w:rsidRDefault="009A64B3" w:rsidP="009B6303">
      <w:pPr>
        <w:rPr>
          <w:lang w:val="en-US"/>
        </w:rPr>
      </w:pPr>
      <w:r>
        <w:rPr>
          <w:lang w:val="en-US"/>
        </w:rPr>
        <w:t>[</w:t>
      </w:r>
      <w:r w:rsidR="004311C5">
        <w:rPr>
          <w:lang w:val="en-US"/>
        </w:rPr>
        <w:t>2</w:t>
      </w:r>
      <w:r>
        <w:rPr>
          <w:lang w:val="en-US"/>
        </w:rPr>
        <w:t xml:space="preserve">] </w:t>
      </w:r>
      <w:r w:rsidR="00A76EF3">
        <w:rPr>
          <w:lang w:val="en-US"/>
        </w:rPr>
        <w:t xml:space="preserve">TS </w:t>
      </w:r>
      <w:r>
        <w:rPr>
          <w:lang w:val="en-US"/>
        </w:rPr>
        <w:t>8.104</w:t>
      </w:r>
      <w:r w:rsidR="00A76EF3">
        <w:rPr>
          <w:lang w:val="en-US"/>
        </w:rPr>
        <w:t xml:space="preserve">: “NR; </w:t>
      </w:r>
      <w:r w:rsidR="00A76EF3" w:rsidRPr="00A76EF3">
        <w:rPr>
          <w:lang w:val="en-US"/>
        </w:rPr>
        <w:t>Base Station (BS) radio transmission and reception</w:t>
      </w:r>
      <w:r w:rsidR="00A76EF3">
        <w:rPr>
          <w:lang w:val="en-US"/>
        </w:rPr>
        <w:t>”.</w:t>
      </w:r>
    </w:p>
    <w:p w14:paraId="1D89CB8E" w14:textId="73027BF0" w:rsidR="004311C5" w:rsidRPr="001B61B6" w:rsidRDefault="004311C5" w:rsidP="004311C5">
      <w:pPr>
        <w:rPr>
          <w:lang w:val="en-US"/>
        </w:rPr>
      </w:pPr>
      <w:r>
        <w:rPr>
          <w:lang w:val="en-US"/>
        </w:rPr>
        <w:t>[3</w:t>
      </w:r>
      <w:r w:rsidRPr="001B61B6">
        <w:rPr>
          <w:lang w:val="en-US"/>
        </w:rPr>
        <w:t xml:space="preserve">] TS 38.101-1: </w:t>
      </w:r>
      <w:r>
        <w:rPr>
          <w:lang w:val="en-US"/>
        </w:rPr>
        <w:t>“</w:t>
      </w:r>
      <w:r w:rsidRPr="001B61B6">
        <w:rPr>
          <w:lang w:val="en-US"/>
        </w:rPr>
        <w:t>NR; User Equipment (UE) radio transmission and reception; Part 2: Range 2 Standalone</w:t>
      </w:r>
      <w:r>
        <w:rPr>
          <w:lang w:val="en-US"/>
        </w:rPr>
        <w:t>”</w:t>
      </w:r>
      <w:r w:rsidRPr="001B61B6">
        <w:rPr>
          <w:lang w:val="en-US"/>
        </w:rPr>
        <w:t xml:space="preserve">. </w:t>
      </w:r>
    </w:p>
    <w:p w14:paraId="583FAAD6" w14:textId="77777777" w:rsidR="004311C5" w:rsidRPr="00910E13" w:rsidRDefault="004311C5" w:rsidP="009B6303">
      <w:pPr>
        <w:rPr>
          <w:lang w:val="en-US"/>
        </w:rPr>
      </w:pPr>
    </w:p>
    <w:p w14:paraId="3CF720EB" w14:textId="77777777" w:rsidR="009B6303" w:rsidRPr="00910E13" w:rsidRDefault="009B6303" w:rsidP="009B6303">
      <w:pPr>
        <w:rPr>
          <w:lang w:val="en-US"/>
        </w:rPr>
      </w:pPr>
    </w:p>
    <w:p w14:paraId="6FB6A31F" w14:textId="77777777" w:rsidR="009B6303" w:rsidRPr="00910E13" w:rsidRDefault="009B6303" w:rsidP="009B6303">
      <w:pPr>
        <w:rPr>
          <w:lang w:val="en-US"/>
        </w:rPr>
      </w:pPr>
    </w:p>
    <w:sectPr w:rsidR="009B6303" w:rsidRPr="00910E13"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68F4C" w14:textId="77777777" w:rsidR="007D6468" w:rsidRDefault="007D6468">
      <w:r>
        <w:separator/>
      </w:r>
    </w:p>
  </w:endnote>
  <w:endnote w:type="continuationSeparator" w:id="0">
    <w:p w14:paraId="767B3F42" w14:textId="77777777" w:rsidR="007D6468" w:rsidRDefault="007D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MS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061E7" w14:textId="77777777" w:rsidR="007D6468" w:rsidRDefault="007D6468">
      <w:r>
        <w:separator/>
      </w:r>
    </w:p>
  </w:footnote>
  <w:footnote w:type="continuationSeparator" w:id="0">
    <w:p w14:paraId="679B9F2B" w14:textId="77777777" w:rsidR="007D6468" w:rsidRDefault="007D64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5AB5"/>
    <w:multiLevelType w:val="multilevel"/>
    <w:tmpl w:val="544EB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E21B2"/>
    <w:multiLevelType w:val="multilevel"/>
    <w:tmpl w:val="C63EB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E83EA3"/>
    <w:multiLevelType w:val="hybridMultilevel"/>
    <w:tmpl w:val="F3D8402C"/>
    <w:lvl w:ilvl="0" w:tplc="08090001">
      <w:start w:val="1"/>
      <w:numFmt w:val="bullet"/>
      <w:lvlText w:val=""/>
      <w:lvlJc w:val="left"/>
      <w:pPr>
        <w:ind w:left="-552" w:hanging="360"/>
      </w:pPr>
      <w:rPr>
        <w:rFonts w:ascii="Symbol" w:hAnsi="Symbol" w:hint="default"/>
      </w:rPr>
    </w:lvl>
    <w:lvl w:ilvl="1" w:tplc="08090003">
      <w:start w:val="1"/>
      <w:numFmt w:val="bullet"/>
      <w:lvlText w:val="o"/>
      <w:lvlJc w:val="left"/>
      <w:pPr>
        <w:ind w:left="168" w:hanging="360"/>
      </w:pPr>
      <w:rPr>
        <w:rFonts w:ascii="Courier New" w:hAnsi="Courier New" w:cs="Courier New" w:hint="default"/>
      </w:rPr>
    </w:lvl>
    <w:lvl w:ilvl="2" w:tplc="08090005">
      <w:start w:val="1"/>
      <w:numFmt w:val="bullet"/>
      <w:lvlText w:val=""/>
      <w:lvlJc w:val="left"/>
      <w:pPr>
        <w:ind w:left="888" w:hanging="360"/>
      </w:pPr>
      <w:rPr>
        <w:rFonts w:ascii="Wingdings" w:hAnsi="Wingdings" w:hint="default"/>
      </w:rPr>
    </w:lvl>
    <w:lvl w:ilvl="3" w:tplc="08090001" w:tentative="1">
      <w:start w:val="1"/>
      <w:numFmt w:val="bullet"/>
      <w:lvlText w:val=""/>
      <w:lvlJc w:val="left"/>
      <w:pPr>
        <w:ind w:left="1608" w:hanging="360"/>
      </w:pPr>
      <w:rPr>
        <w:rFonts w:ascii="Symbol" w:hAnsi="Symbol" w:hint="default"/>
      </w:rPr>
    </w:lvl>
    <w:lvl w:ilvl="4" w:tplc="08090003" w:tentative="1">
      <w:start w:val="1"/>
      <w:numFmt w:val="bullet"/>
      <w:lvlText w:val="o"/>
      <w:lvlJc w:val="left"/>
      <w:pPr>
        <w:ind w:left="2328" w:hanging="360"/>
      </w:pPr>
      <w:rPr>
        <w:rFonts w:ascii="Courier New" w:hAnsi="Courier New" w:cs="Courier New" w:hint="default"/>
      </w:rPr>
    </w:lvl>
    <w:lvl w:ilvl="5" w:tplc="08090005" w:tentative="1">
      <w:start w:val="1"/>
      <w:numFmt w:val="bullet"/>
      <w:lvlText w:val=""/>
      <w:lvlJc w:val="left"/>
      <w:pPr>
        <w:ind w:left="3048" w:hanging="360"/>
      </w:pPr>
      <w:rPr>
        <w:rFonts w:ascii="Wingdings" w:hAnsi="Wingdings" w:hint="default"/>
      </w:rPr>
    </w:lvl>
    <w:lvl w:ilvl="6" w:tplc="08090001" w:tentative="1">
      <w:start w:val="1"/>
      <w:numFmt w:val="bullet"/>
      <w:lvlText w:val=""/>
      <w:lvlJc w:val="left"/>
      <w:pPr>
        <w:ind w:left="3768" w:hanging="360"/>
      </w:pPr>
      <w:rPr>
        <w:rFonts w:ascii="Symbol" w:hAnsi="Symbol" w:hint="default"/>
      </w:rPr>
    </w:lvl>
    <w:lvl w:ilvl="7" w:tplc="08090003" w:tentative="1">
      <w:start w:val="1"/>
      <w:numFmt w:val="bullet"/>
      <w:lvlText w:val="o"/>
      <w:lvlJc w:val="left"/>
      <w:pPr>
        <w:ind w:left="4488" w:hanging="360"/>
      </w:pPr>
      <w:rPr>
        <w:rFonts w:ascii="Courier New" w:hAnsi="Courier New" w:cs="Courier New" w:hint="default"/>
      </w:rPr>
    </w:lvl>
    <w:lvl w:ilvl="8" w:tplc="08090005" w:tentative="1">
      <w:start w:val="1"/>
      <w:numFmt w:val="bullet"/>
      <w:lvlText w:val=""/>
      <w:lvlJc w:val="left"/>
      <w:pPr>
        <w:ind w:left="5208" w:hanging="360"/>
      </w:pPr>
      <w:rPr>
        <w:rFonts w:ascii="Wingdings" w:hAnsi="Wingdings" w:hint="default"/>
      </w:rPr>
    </w:lvl>
  </w:abstractNum>
  <w:abstractNum w:abstractNumId="5" w15:restartNumberingAfterBreak="0">
    <w:nsid w:val="19020901"/>
    <w:multiLevelType w:val="hybridMultilevel"/>
    <w:tmpl w:val="2476264C"/>
    <w:lvl w:ilvl="0" w:tplc="1AC6864E">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DCA6961"/>
    <w:multiLevelType w:val="hybridMultilevel"/>
    <w:tmpl w:val="CB70FEAA"/>
    <w:lvl w:ilvl="0" w:tplc="1AC6864E">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4EB5665"/>
    <w:multiLevelType w:val="multilevel"/>
    <w:tmpl w:val="49C2F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6908C0"/>
    <w:multiLevelType w:val="hybridMultilevel"/>
    <w:tmpl w:val="B89493B2"/>
    <w:lvl w:ilvl="0" w:tplc="801C457C">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B8843A12"/>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792" w:hanging="432"/>
      </w:pPr>
      <w:rPr>
        <w:rFonts w:hint="eastAsia"/>
      </w:rPr>
    </w:lvl>
    <w:lvl w:ilvl="2">
      <w:start w:val="1"/>
      <w:numFmt w:val="decimal"/>
      <w:pStyle w:val="Heading3"/>
      <w:lvlText w:val="%1.%2.%3."/>
      <w:lvlJc w:val="left"/>
      <w:pPr>
        <w:ind w:left="1224" w:hanging="504"/>
      </w:pPr>
      <w:rPr>
        <w:rFonts w:hint="eastAsia"/>
      </w:rPr>
    </w:lvl>
    <w:lvl w:ilvl="3">
      <w:start w:val="1"/>
      <w:numFmt w:val="decimal"/>
      <w:pStyle w:val="Heading4"/>
      <w:lvlText w:val="%1.%2.%3.%4."/>
      <w:lvlJc w:val="left"/>
      <w:pPr>
        <w:ind w:left="1728" w:hanging="648"/>
      </w:pPr>
      <w:rPr>
        <w:rFonts w:hint="eastAsia"/>
      </w:rPr>
    </w:lvl>
    <w:lvl w:ilvl="4">
      <w:start w:val="1"/>
      <w:numFmt w:val="decimal"/>
      <w:pStyle w:val="Heading5"/>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pStyle w:val="Heading8"/>
      <w:lvlText w:val="%1.%2.%3.%4.%5.%6.%7.%8."/>
      <w:lvlJc w:val="left"/>
      <w:pPr>
        <w:ind w:left="3744" w:hanging="1224"/>
      </w:pPr>
      <w:rPr>
        <w:rFonts w:hint="eastAsia"/>
      </w:rPr>
    </w:lvl>
    <w:lvl w:ilvl="8">
      <w:start w:val="1"/>
      <w:numFmt w:val="decimal"/>
      <w:pStyle w:val="Heading9"/>
      <w:lvlText w:val="%1.%2.%3.%4.%5.%6.%7.%8.%9."/>
      <w:lvlJc w:val="left"/>
      <w:pPr>
        <w:ind w:left="4320" w:hanging="1440"/>
      </w:pPr>
      <w:rPr>
        <w:rFonts w:hint="eastAsia"/>
      </w:rPr>
    </w:lvl>
  </w:abstractNum>
  <w:abstractNum w:abstractNumId="16"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8D717F6"/>
    <w:multiLevelType w:val="hybridMultilevel"/>
    <w:tmpl w:val="D986A4BC"/>
    <w:lvl w:ilvl="0" w:tplc="801C457C">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A5A5A39"/>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6F5022CC"/>
    <w:multiLevelType w:val="multilevel"/>
    <w:tmpl w:val="2FAE9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F66EE5"/>
    <w:multiLevelType w:val="multilevel"/>
    <w:tmpl w:val="0D62A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756CC0"/>
    <w:multiLevelType w:val="multilevel"/>
    <w:tmpl w:val="C66CB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097209129">
    <w:abstractNumId w:val="1"/>
  </w:num>
  <w:num w:numId="2" w16cid:durableId="631518109">
    <w:abstractNumId w:val="11"/>
  </w:num>
  <w:num w:numId="3" w16cid:durableId="1769886271">
    <w:abstractNumId w:val="23"/>
  </w:num>
  <w:num w:numId="4" w16cid:durableId="174072886">
    <w:abstractNumId w:val="18"/>
  </w:num>
  <w:num w:numId="5" w16cid:durableId="1730419240">
    <w:abstractNumId w:val="15"/>
  </w:num>
  <w:num w:numId="6" w16cid:durableId="277642089">
    <w:abstractNumId w:val="15"/>
  </w:num>
  <w:num w:numId="7" w16cid:durableId="1046685458">
    <w:abstractNumId w:val="15"/>
  </w:num>
  <w:num w:numId="8" w16cid:durableId="1976445973">
    <w:abstractNumId w:val="15"/>
  </w:num>
  <w:num w:numId="9" w16cid:durableId="1528910883">
    <w:abstractNumId w:val="15"/>
  </w:num>
  <w:num w:numId="10" w16cid:durableId="447118965">
    <w:abstractNumId w:val="15"/>
  </w:num>
  <w:num w:numId="11" w16cid:durableId="517700627">
    <w:abstractNumId w:val="15"/>
  </w:num>
  <w:num w:numId="12" w16cid:durableId="434249310">
    <w:abstractNumId w:val="15"/>
  </w:num>
  <w:num w:numId="13" w16cid:durableId="1948077584">
    <w:abstractNumId w:val="15"/>
  </w:num>
  <w:num w:numId="14" w16cid:durableId="920406423">
    <w:abstractNumId w:val="15"/>
  </w:num>
  <w:num w:numId="15" w16cid:durableId="295071237">
    <w:abstractNumId w:val="15"/>
  </w:num>
  <w:num w:numId="16" w16cid:durableId="448399414">
    <w:abstractNumId w:val="15"/>
  </w:num>
  <w:num w:numId="17" w16cid:durableId="1023745741">
    <w:abstractNumId w:val="9"/>
  </w:num>
  <w:num w:numId="18" w16cid:durableId="383257453">
    <w:abstractNumId w:val="7"/>
  </w:num>
  <w:num w:numId="19" w16cid:durableId="1844852004">
    <w:abstractNumId w:val="6"/>
  </w:num>
  <w:num w:numId="20" w16cid:durableId="142815290">
    <w:abstractNumId w:val="2"/>
  </w:num>
  <w:num w:numId="21" w16cid:durableId="418716757">
    <w:abstractNumId w:val="15"/>
  </w:num>
  <w:num w:numId="22" w16cid:durableId="1778864828">
    <w:abstractNumId w:val="15"/>
  </w:num>
  <w:num w:numId="23" w16cid:durableId="145972534">
    <w:abstractNumId w:val="12"/>
  </w:num>
  <w:num w:numId="24" w16cid:durableId="653143522">
    <w:abstractNumId w:val="19"/>
  </w:num>
  <w:num w:numId="25" w16cid:durableId="1083841635">
    <w:abstractNumId w:val="16"/>
  </w:num>
  <w:num w:numId="26" w16cid:durableId="726302007">
    <w:abstractNumId w:val="8"/>
  </w:num>
  <w:num w:numId="27" w16cid:durableId="444159753">
    <w:abstractNumId w:val="17"/>
  </w:num>
  <w:num w:numId="28" w16cid:durableId="1788819013">
    <w:abstractNumId w:val="14"/>
  </w:num>
  <w:num w:numId="29" w16cid:durableId="2142457826">
    <w:abstractNumId w:val="4"/>
  </w:num>
  <w:num w:numId="30" w16cid:durableId="997879685">
    <w:abstractNumId w:val="10"/>
  </w:num>
  <w:num w:numId="31" w16cid:durableId="559026560">
    <w:abstractNumId w:val="5"/>
  </w:num>
  <w:num w:numId="32" w16cid:durableId="1651785242">
    <w:abstractNumId w:val="3"/>
  </w:num>
  <w:num w:numId="33" w16cid:durableId="2070378181">
    <w:abstractNumId w:val="22"/>
  </w:num>
  <w:num w:numId="34" w16cid:durableId="1112170768">
    <w:abstractNumId w:val="0"/>
  </w:num>
  <w:num w:numId="35" w16cid:durableId="73093649">
    <w:abstractNumId w:val="20"/>
  </w:num>
  <w:num w:numId="36" w16cid:durableId="1843860596">
    <w:abstractNumId w:val="13"/>
  </w:num>
  <w:num w:numId="37" w16cid:durableId="1529484780">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3DA"/>
    <w:rsid w:val="00000265"/>
    <w:rsid w:val="0000223C"/>
    <w:rsid w:val="00004165"/>
    <w:rsid w:val="00015044"/>
    <w:rsid w:val="00020C56"/>
    <w:rsid w:val="00026ACC"/>
    <w:rsid w:val="0003171D"/>
    <w:rsid w:val="00031C1D"/>
    <w:rsid w:val="00032362"/>
    <w:rsid w:val="000353D4"/>
    <w:rsid w:val="00035C50"/>
    <w:rsid w:val="000457A1"/>
    <w:rsid w:val="000462FF"/>
    <w:rsid w:val="00050001"/>
    <w:rsid w:val="00052041"/>
    <w:rsid w:val="0005326A"/>
    <w:rsid w:val="0006266D"/>
    <w:rsid w:val="00065506"/>
    <w:rsid w:val="0007382E"/>
    <w:rsid w:val="000766E1"/>
    <w:rsid w:val="00077FF6"/>
    <w:rsid w:val="000807C1"/>
    <w:rsid w:val="00080D82"/>
    <w:rsid w:val="00081692"/>
    <w:rsid w:val="00082C46"/>
    <w:rsid w:val="00085A0E"/>
    <w:rsid w:val="00087548"/>
    <w:rsid w:val="00093E7E"/>
    <w:rsid w:val="000A1830"/>
    <w:rsid w:val="000A4121"/>
    <w:rsid w:val="000A4AA3"/>
    <w:rsid w:val="000A550E"/>
    <w:rsid w:val="000A71DF"/>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49EB"/>
    <w:rsid w:val="00107927"/>
    <w:rsid w:val="00110E26"/>
    <w:rsid w:val="00111321"/>
    <w:rsid w:val="001128E7"/>
    <w:rsid w:val="00117BD6"/>
    <w:rsid w:val="001206C2"/>
    <w:rsid w:val="00121978"/>
    <w:rsid w:val="00123422"/>
    <w:rsid w:val="00124B6A"/>
    <w:rsid w:val="00136D4C"/>
    <w:rsid w:val="00142538"/>
    <w:rsid w:val="00142BB9"/>
    <w:rsid w:val="00144F96"/>
    <w:rsid w:val="00147825"/>
    <w:rsid w:val="0015022A"/>
    <w:rsid w:val="00151EAC"/>
    <w:rsid w:val="00153528"/>
    <w:rsid w:val="00154E68"/>
    <w:rsid w:val="00156746"/>
    <w:rsid w:val="00157907"/>
    <w:rsid w:val="00162548"/>
    <w:rsid w:val="00166D75"/>
    <w:rsid w:val="00172183"/>
    <w:rsid w:val="001751AB"/>
    <w:rsid w:val="00175A3F"/>
    <w:rsid w:val="001804C3"/>
    <w:rsid w:val="00180E09"/>
    <w:rsid w:val="00183D4C"/>
    <w:rsid w:val="00183F6D"/>
    <w:rsid w:val="0018670E"/>
    <w:rsid w:val="0019219A"/>
    <w:rsid w:val="00195077"/>
    <w:rsid w:val="001951ED"/>
    <w:rsid w:val="001A033F"/>
    <w:rsid w:val="001A08AA"/>
    <w:rsid w:val="001A41B9"/>
    <w:rsid w:val="001A59CB"/>
    <w:rsid w:val="001B61B6"/>
    <w:rsid w:val="001B7991"/>
    <w:rsid w:val="001C1409"/>
    <w:rsid w:val="001C2AE6"/>
    <w:rsid w:val="001C4A89"/>
    <w:rsid w:val="001C6177"/>
    <w:rsid w:val="001D0363"/>
    <w:rsid w:val="001D12B4"/>
    <w:rsid w:val="001D7D94"/>
    <w:rsid w:val="001E0A28"/>
    <w:rsid w:val="001E4218"/>
    <w:rsid w:val="001F0B20"/>
    <w:rsid w:val="002005D4"/>
    <w:rsid w:val="00200A62"/>
    <w:rsid w:val="00203740"/>
    <w:rsid w:val="0020593F"/>
    <w:rsid w:val="002138EA"/>
    <w:rsid w:val="002139EA"/>
    <w:rsid w:val="00213F84"/>
    <w:rsid w:val="00214FBD"/>
    <w:rsid w:val="002176B8"/>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60D"/>
    <w:rsid w:val="002858BF"/>
    <w:rsid w:val="002939AF"/>
    <w:rsid w:val="00294491"/>
    <w:rsid w:val="00294BDE"/>
    <w:rsid w:val="002A0CED"/>
    <w:rsid w:val="002A2968"/>
    <w:rsid w:val="002A4CD0"/>
    <w:rsid w:val="002A7DA6"/>
    <w:rsid w:val="002B1AB8"/>
    <w:rsid w:val="002B516C"/>
    <w:rsid w:val="002B5E1D"/>
    <w:rsid w:val="002B60C1"/>
    <w:rsid w:val="002C4B52"/>
    <w:rsid w:val="002D03E5"/>
    <w:rsid w:val="002D36EB"/>
    <w:rsid w:val="002D487B"/>
    <w:rsid w:val="002D6BDF"/>
    <w:rsid w:val="002E0E81"/>
    <w:rsid w:val="002E2CE9"/>
    <w:rsid w:val="002E3BF7"/>
    <w:rsid w:val="002E403E"/>
    <w:rsid w:val="002E4C74"/>
    <w:rsid w:val="002F0E21"/>
    <w:rsid w:val="002F158C"/>
    <w:rsid w:val="002F1B35"/>
    <w:rsid w:val="002F4093"/>
    <w:rsid w:val="002F5636"/>
    <w:rsid w:val="003022A5"/>
    <w:rsid w:val="00307E51"/>
    <w:rsid w:val="00311363"/>
    <w:rsid w:val="00313999"/>
    <w:rsid w:val="00315867"/>
    <w:rsid w:val="00321150"/>
    <w:rsid w:val="003260D7"/>
    <w:rsid w:val="00336697"/>
    <w:rsid w:val="003418CB"/>
    <w:rsid w:val="003424A0"/>
    <w:rsid w:val="00353AF1"/>
    <w:rsid w:val="00355873"/>
    <w:rsid w:val="0035660F"/>
    <w:rsid w:val="003628B9"/>
    <w:rsid w:val="00362D8F"/>
    <w:rsid w:val="00367724"/>
    <w:rsid w:val="003710BA"/>
    <w:rsid w:val="003770F6"/>
    <w:rsid w:val="00380873"/>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0F34"/>
    <w:rsid w:val="003F1C1B"/>
    <w:rsid w:val="003F2F9E"/>
    <w:rsid w:val="003F3A2F"/>
    <w:rsid w:val="003F512B"/>
    <w:rsid w:val="00401144"/>
    <w:rsid w:val="00403918"/>
    <w:rsid w:val="00404831"/>
    <w:rsid w:val="00407661"/>
    <w:rsid w:val="00410314"/>
    <w:rsid w:val="00412063"/>
    <w:rsid w:val="00412EB1"/>
    <w:rsid w:val="00413DDE"/>
    <w:rsid w:val="00414118"/>
    <w:rsid w:val="00416084"/>
    <w:rsid w:val="00424F8C"/>
    <w:rsid w:val="00426275"/>
    <w:rsid w:val="0042710B"/>
    <w:rsid w:val="004271BA"/>
    <w:rsid w:val="00430497"/>
    <w:rsid w:val="00430EA5"/>
    <w:rsid w:val="004311C5"/>
    <w:rsid w:val="00434DC1"/>
    <w:rsid w:val="004350F4"/>
    <w:rsid w:val="004412A0"/>
    <w:rsid w:val="00442337"/>
    <w:rsid w:val="00445B93"/>
    <w:rsid w:val="00446408"/>
    <w:rsid w:val="00450F27"/>
    <w:rsid w:val="004510E5"/>
    <w:rsid w:val="004525F4"/>
    <w:rsid w:val="00452C50"/>
    <w:rsid w:val="00456A75"/>
    <w:rsid w:val="004618CA"/>
    <w:rsid w:val="00461E39"/>
    <w:rsid w:val="00462D3A"/>
    <w:rsid w:val="00463521"/>
    <w:rsid w:val="00471125"/>
    <w:rsid w:val="004715B7"/>
    <w:rsid w:val="00471698"/>
    <w:rsid w:val="0047437A"/>
    <w:rsid w:val="00480E42"/>
    <w:rsid w:val="00484C5D"/>
    <w:rsid w:val="0048543E"/>
    <w:rsid w:val="004868C1"/>
    <w:rsid w:val="0048750F"/>
    <w:rsid w:val="004A17E9"/>
    <w:rsid w:val="004A495F"/>
    <w:rsid w:val="004A7544"/>
    <w:rsid w:val="004B6B0F"/>
    <w:rsid w:val="004C3DA1"/>
    <w:rsid w:val="004C54E5"/>
    <w:rsid w:val="004C7DC8"/>
    <w:rsid w:val="004D21B0"/>
    <w:rsid w:val="004D61E8"/>
    <w:rsid w:val="004D737D"/>
    <w:rsid w:val="004E2659"/>
    <w:rsid w:val="004E39EE"/>
    <w:rsid w:val="004E475C"/>
    <w:rsid w:val="004E56E0"/>
    <w:rsid w:val="004E7329"/>
    <w:rsid w:val="004F1CCE"/>
    <w:rsid w:val="004F2CB0"/>
    <w:rsid w:val="004F5977"/>
    <w:rsid w:val="005017F7"/>
    <w:rsid w:val="00501FA7"/>
    <w:rsid w:val="005034DC"/>
    <w:rsid w:val="00505BFA"/>
    <w:rsid w:val="005071B4"/>
    <w:rsid w:val="00507687"/>
    <w:rsid w:val="0051071D"/>
    <w:rsid w:val="005117A9"/>
    <w:rsid w:val="00511F57"/>
    <w:rsid w:val="00513AE9"/>
    <w:rsid w:val="00515CBE"/>
    <w:rsid w:val="00515E2B"/>
    <w:rsid w:val="00522A7E"/>
    <w:rsid w:val="00522F20"/>
    <w:rsid w:val="005271E9"/>
    <w:rsid w:val="005308DB"/>
    <w:rsid w:val="00530A2E"/>
    <w:rsid w:val="00530FBE"/>
    <w:rsid w:val="00533159"/>
    <w:rsid w:val="005339DB"/>
    <w:rsid w:val="00534C89"/>
    <w:rsid w:val="00537988"/>
    <w:rsid w:val="00541573"/>
    <w:rsid w:val="0054348A"/>
    <w:rsid w:val="0054716F"/>
    <w:rsid w:val="00571777"/>
    <w:rsid w:val="00580FF5"/>
    <w:rsid w:val="0058519C"/>
    <w:rsid w:val="0059149A"/>
    <w:rsid w:val="005956EE"/>
    <w:rsid w:val="005A083E"/>
    <w:rsid w:val="005B4802"/>
    <w:rsid w:val="005C1EA6"/>
    <w:rsid w:val="005D0B99"/>
    <w:rsid w:val="005D308E"/>
    <w:rsid w:val="005D3A48"/>
    <w:rsid w:val="005D55D0"/>
    <w:rsid w:val="005D7AF8"/>
    <w:rsid w:val="005E104D"/>
    <w:rsid w:val="005E17BF"/>
    <w:rsid w:val="005E366A"/>
    <w:rsid w:val="005F2145"/>
    <w:rsid w:val="006016E1"/>
    <w:rsid w:val="00602D27"/>
    <w:rsid w:val="006144A1"/>
    <w:rsid w:val="00615B86"/>
    <w:rsid w:val="00615EBB"/>
    <w:rsid w:val="00616096"/>
    <w:rsid w:val="006160A2"/>
    <w:rsid w:val="006302AA"/>
    <w:rsid w:val="00635192"/>
    <w:rsid w:val="006363BD"/>
    <w:rsid w:val="006412DC"/>
    <w:rsid w:val="00642BC6"/>
    <w:rsid w:val="00644790"/>
    <w:rsid w:val="006501AF"/>
    <w:rsid w:val="00650DDE"/>
    <w:rsid w:val="0065505B"/>
    <w:rsid w:val="00662CF6"/>
    <w:rsid w:val="006670AC"/>
    <w:rsid w:val="00672307"/>
    <w:rsid w:val="006808C6"/>
    <w:rsid w:val="00682668"/>
    <w:rsid w:val="006875AF"/>
    <w:rsid w:val="00692A68"/>
    <w:rsid w:val="00692D1F"/>
    <w:rsid w:val="00695D85"/>
    <w:rsid w:val="006A30A2"/>
    <w:rsid w:val="006A6D23"/>
    <w:rsid w:val="006B25DE"/>
    <w:rsid w:val="006B377D"/>
    <w:rsid w:val="006B6AD5"/>
    <w:rsid w:val="006C1C3B"/>
    <w:rsid w:val="006C4E43"/>
    <w:rsid w:val="006C643E"/>
    <w:rsid w:val="006D2932"/>
    <w:rsid w:val="006D3671"/>
    <w:rsid w:val="006D4176"/>
    <w:rsid w:val="006E0A73"/>
    <w:rsid w:val="006E0FEE"/>
    <w:rsid w:val="006E3A3B"/>
    <w:rsid w:val="006E6C11"/>
    <w:rsid w:val="006F16B1"/>
    <w:rsid w:val="006F7C0C"/>
    <w:rsid w:val="00700755"/>
    <w:rsid w:val="0070166D"/>
    <w:rsid w:val="00702F22"/>
    <w:rsid w:val="0070646B"/>
    <w:rsid w:val="00706794"/>
    <w:rsid w:val="00712F25"/>
    <w:rsid w:val="007130A2"/>
    <w:rsid w:val="00715463"/>
    <w:rsid w:val="00722197"/>
    <w:rsid w:val="00725252"/>
    <w:rsid w:val="00730655"/>
    <w:rsid w:val="007315F6"/>
    <w:rsid w:val="00731D77"/>
    <w:rsid w:val="00732360"/>
    <w:rsid w:val="007336B4"/>
    <w:rsid w:val="0073390A"/>
    <w:rsid w:val="00734707"/>
    <w:rsid w:val="00734E64"/>
    <w:rsid w:val="00736B37"/>
    <w:rsid w:val="00740A35"/>
    <w:rsid w:val="00740C2E"/>
    <w:rsid w:val="007464A5"/>
    <w:rsid w:val="007520B4"/>
    <w:rsid w:val="007655D5"/>
    <w:rsid w:val="007763C1"/>
    <w:rsid w:val="00777E82"/>
    <w:rsid w:val="00781359"/>
    <w:rsid w:val="007827CC"/>
    <w:rsid w:val="00786921"/>
    <w:rsid w:val="0079735C"/>
    <w:rsid w:val="007A1EAA"/>
    <w:rsid w:val="007A79FD"/>
    <w:rsid w:val="007B0B9D"/>
    <w:rsid w:val="007B26E3"/>
    <w:rsid w:val="007B5A43"/>
    <w:rsid w:val="007B709B"/>
    <w:rsid w:val="007C0ACD"/>
    <w:rsid w:val="007C1343"/>
    <w:rsid w:val="007C168A"/>
    <w:rsid w:val="007C5EF1"/>
    <w:rsid w:val="007C7BF5"/>
    <w:rsid w:val="007D19B7"/>
    <w:rsid w:val="007D3FAB"/>
    <w:rsid w:val="007D6468"/>
    <w:rsid w:val="007D75E5"/>
    <w:rsid w:val="007D773E"/>
    <w:rsid w:val="007E066E"/>
    <w:rsid w:val="007E1356"/>
    <w:rsid w:val="007E20FC"/>
    <w:rsid w:val="007E7062"/>
    <w:rsid w:val="007F0E1E"/>
    <w:rsid w:val="007F29A7"/>
    <w:rsid w:val="007F67AC"/>
    <w:rsid w:val="008004B4"/>
    <w:rsid w:val="00805BE8"/>
    <w:rsid w:val="00812E42"/>
    <w:rsid w:val="008156C1"/>
    <w:rsid w:val="00816078"/>
    <w:rsid w:val="008177E3"/>
    <w:rsid w:val="00823AA9"/>
    <w:rsid w:val="008255B9"/>
    <w:rsid w:val="00825CD8"/>
    <w:rsid w:val="00827324"/>
    <w:rsid w:val="00830D2F"/>
    <w:rsid w:val="008355EA"/>
    <w:rsid w:val="00837458"/>
    <w:rsid w:val="00837AAE"/>
    <w:rsid w:val="008429AD"/>
    <w:rsid w:val="008429DB"/>
    <w:rsid w:val="00847E82"/>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873C9"/>
    <w:rsid w:val="00891EE1"/>
    <w:rsid w:val="00893987"/>
    <w:rsid w:val="00894922"/>
    <w:rsid w:val="008963EF"/>
    <w:rsid w:val="0089688E"/>
    <w:rsid w:val="008A1FBE"/>
    <w:rsid w:val="008B072E"/>
    <w:rsid w:val="008B3194"/>
    <w:rsid w:val="008B5AE7"/>
    <w:rsid w:val="008C60E9"/>
    <w:rsid w:val="008D06AE"/>
    <w:rsid w:val="008D1B7C"/>
    <w:rsid w:val="008D3E56"/>
    <w:rsid w:val="008D6657"/>
    <w:rsid w:val="008E1F60"/>
    <w:rsid w:val="008E307E"/>
    <w:rsid w:val="008F4DD1"/>
    <w:rsid w:val="008F6056"/>
    <w:rsid w:val="009002C7"/>
    <w:rsid w:val="00902C07"/>
    <w:rsid w:val="00905804"/>
    <w:rsid w:val="009101E2"/>
    <w:rsid w:val="00910E13"/>
    <w:rsid w:val="00915D73"/>
    <w:rsid w:val="00916077"/>
    <w:rsid w:val="009170A2"/>
    <w:rsid w:val="009208A6"/>
    <w:rsid w:val="00924514"/>
    <w:rsid w:val="00927316"/>
    <w:rsid w:val="0093133D"/>
    <w:rsid w:val="0093276D"/>
    <w:rsid w:val="00933D12"/>
    <w:rsid w:val="0093685F"/>
    <w:rsid w:val="00937065"/>
    <w:rsid w:val="00940285"/>
    <w:rsid w:val="009415B0"/>
    <w:rsid w:val="00947E7E"/>
    <w:rsid w:val="0095139A"/>
    <w:rsid w:val="00953E16"/>
    <w:rsid w:val="009542AC"/>
    <w:rsid w:val="00956A5D"/>
    <w:rsid w:val="00957C05"/>
    <w:rsid w:val="00961BB2"/>
    <w:rsid w:val="00962108"/>
    <w:rsid w:val="009638D6"/>
    <w:rsid w:val="00967162"/>
    <w:rsid w:val="00972A29"/>
    <w:rsid w:val="0097408E"/>
    <w:rsid w:val="00974BB2"/>
    <w:rsid w:val="00974FA7"/>
    <w:rsid w:val="009756E5"/>
    <w:rsid w:val="00977A8C"/>
    <w:rsid w:val="00983910"/>
    <w:rsid w:val="009932AC"/>
    <w:rsid w:val="00994351"/>
    <w:rsid w:val="00996A8F"/>
    <w:rsid w:val="009A1DBF"/>
    <w:rsid w:val="009A64B3"/>
    <w:rsid w:val="009A68E6"/>
    <w:rsid w:val="009A7598"/>
    <w:rsid w:val="009B06EC"/>
    <w:rsid w:val="009B1DF8"/>
    <w:rsid w:val="009B3D20"/>
    <w:rsid w:val="009B5418"/>
    <w:rsid w:val="009B592C"/>
    <w:rsid w:val="009B6303"/>
    <w:rsid w:val="009C0727"/>
    <w:rsid w:val="009C3C80"/>
    <w:rsid w:val="009C492F"/>
    <w:rsid w:val="009D20D5"/>
    <w:rsid w:val="009D29D9"/>
    <w:rsid w:val="009D2FF2"/>
    <w:rsid w:val="009D3226"/>
    <w:rsid w:val="009D3385"/>
    <w:rsid w:val="009D56C0"/>
    <w:rsid w:val="009D56FC"/>
    <w:rsid w:val="009D793C"/>
    <w:rsid w:val="009E16A9"/>
    <w:rsid w:val="009E375F"/>
    <w:rsid w:val="009E39D4"/>
    <w:rsid w:val="009E433B"/>
    <w:rsid w:val="009E5401"/>
    <w:rsid w:val="00A0758F"/>
    <w:rsid w:val="00A1570A"/>
    <w:rsid w:val="00A168D8"/>
    <w:rsid w:val="00A211B4"/>
    <w:rsid w:val="00A33DDF"/>
    <w:rsid w:val="00A34547"/>
    <w:rsid w:val="00A376B7"/>
    <w:rsid w:val="00A41BF5"/>
    <w:rsid w:val="00A44778"/>
    <w:rsid w:val="00A469E7"/>
    <w:rsid w:val="00A604A4"/>
    <w:rsid w:val="00A60DA9"/>
    <w:rsid w:val="00A61B7D"/>
    <w:rsid w:val="00A6605B"/>
    <w:rsid w:val="00A66ADC"/>
    <w:rsid w:val="00A7147D"/>
    <w:rsid w:val="00A71921"/>
    <w:rsid w:val="00A74C20"/>
    <w:rsid w:val="00A75E11"/>
    <w:rsid w:val="00A76EF3"/>
    <w:rsid w:val="00A81B15"/>
    <w:rsid w:val="00A837FF"/>
    <w:rsid w:val="00A84052"/>
    <w:rsid w:val="00A84DC8"/>
    <w:rsid w:val="00A85DBC"/>
    <w:rsid w:val="00A87FEB"/>
    <w:rsid w:val="00A93F9F"/>
    <w:rsid w:val="00A9420E"/>
    <w:rsid w:val="00A97648"/>
    <w:rsid w:val="00AA0F10"/>
    <w:rsid w:val="00AA1CFD"/>
    <w:rsid w:val="00AA2239"/>
    <w:rsid w:val="00AA33D2"/>
    <w:rsid w:val="00AA42D8"/>
    <w:rsid w:val="00AA4F99"/>
    <w:rsid w:val="00AA783C"/>
    <w:rsid w:val="00AA7ADF"/>
    <w:rsid w:val="00AB0C57"/>
    <w:rsid w:val="00AB1195"/>
    <w:rsid w:val="00AB4182"/>
    <w:rsid w:val="00AC27DB"/>
    <w:rsid w:val="00AC3E63"/>
    <w:rsid w:val="00AC6D6B"/>
    <w:rsid w:val="00AD3157"/>
    <w:rsid w:val="00AD7736"/>
    <w:rsid w:val="00AE02B1"/>
    <w:rsid w:val="00AE10CE"/>
    <w:rsid w:val="00AE59ED"/>
    <w:rsid w:val="00AE70D4"/>
    <w:rsid w:val="00AE7868"/>
    <w:rsid w:val="00AE7BAF"/>
    <w:rsid w:val="00AF014B"/>
    <w:rsid w:val="00AF0407"/>
    <w:rsid w:val="00AF049B"/>
    <w:rsid w:val="00AF38D3"/>
    <w:rsid w:val="00AF4D8B"/>
    <w:rsid w:val="00B067CA"/>
    <w:rsid w:val="00B12B26"/>
    <w:rsid w:val="00B163F8"/>
    <w:rsid w:val="00B2472D"/>
    <w:rsid w:val="00B24CA0"/>
    <w:rsid w:val="00B2549F"/>
    <w:rsid w:val="00B4108D"/>
    <w:rsid w:val="00B473D9"/>
    <w:rsid w:val="00B51345"/>
    <w:rsid w:val="00B57265"/>
    <w:rsid w:val="00B633AE"/>
    <w:rsid w:val="00B646FA"/>
    <w:rsid w:val="00B665D2"/>
    <w:rsid w:val="00B6737C"/>
    <w:rsid w:val="00B7214D"/>
    <w:rsid w:val="00B74372"/>
    <w:rsid w:val="00B75525"/>
    <w:rsid w:val="00B80283"/>
    <w:rsid w:val="00B8095F"/>
    <w:rsid w:val="00B80B0C"/>
    <w:rsid w:val="00B80B11"/>
    <w:rsid w:val="00B80EA0"/>
    <w:rsid w:val="00B831AE"/>
    <w:rsid w:val="00B8446C"/>
    <w:rsid w:val="00B87725"/>
    <w:rsid w:val="00BA259A"/>
    <w:rsid w:val="00BA259C"/>
    <w:rsid w:val="00BA29D3"/>
    <w:rsid w:val="00BA307F"/>
    <w:rsid w:val="00BA5280"/>
    <w:rsid w:val="00BB14F1"/>
    <w:rsid w:val="00BB572E"/>
    <w:rsid w:val="00BB74FD"/>
    <w:rsid w:val="00BC5982"/>
    <w:rsid w:val="00BC60BF"/>
    <w:rsid w:val="00BD1323"/>
    <w:rsid w:val="00BD28BF"/>
    <w:rsid w:val="00BD2D12"/>
    <w:rsid w:val="00BD6404"/>
    <w:rsid w:val="00BE33AE"/>
    <w:rsid w:val="00BF046F"/>
    <w:rsid w:val="00BF3BC1"/>
    <w:rsid w:val="00C0080D"/>
    <w:rsid w:val="00C01D50"/>
    <w:rsid w:val="00C0243F"/>
    <w:rsid w:val="00C056DC"/>
    <w:rsid w:val="00C10618"/>
    <w:rsid w:val="00C1329B"/>
    <w:rsid w:val="00C1572F"/>
    <w:rsid w:val="00C24C05"/>
    <w:rsid w:val="00C24D2F"/>
    <w:rsid w:val="00C26222"/>
    <w:rsid w:val="00C3057C"/>
    <w:rsid w:val="00C31283"/>
    <w:rsid w:val="00C33C48"/>
    <w:rsid w:val="00C340E5"/>
    <w:rsid w:val="00C35AA7"/>
    <w:rsid w:val="00C43BA1"/>
    <w:rsid w:val="00C43DAB"/>
    <w:rsid w:val="00C47F08"/>
    <w:rsid w:val="00C514A6"/>
    <w:rsid w:val="00C53B74"/>
    <w:rsid w:val="00C5739F"/>
    <w:rsid w:val="00C57CF0"/>
    <w:rsid w:val="00C63557"/>
    <w:rsid w:val="00C649BD"/>
    <w:rsid w:val="00C65891"/>
    <w:rsid w:val="00C66AC9"/>
    <w:rsid w:val="00C70E41"/>
    <w:rsid w:val="00C724D3"/>
    <w:rsid w:val="00C77DD9"/>
    <w:rsid w:val="00C83BE6"/>
    <w:rsid w:val="00C85354"/>
    <w:rsid w:val="00C86ABA"/>
    <w:rsid w:val="00C943F3"/>
    <w:rsid w:val="00CA08C6"/>
    <w:rsid w:val="00CA0A77"/>
    <w:rsid w:val="00CA2729"/>
    <w:rsid w:val="00CA3057"/>
    <w:rsid w:val="00CA45F8"/>
    <w:rsid w:val="00CB0305"/>
    <w:rsid w:val="00CB33C7"/>
    <w:rsid w:val="00CB5642"/>
    <w:rsid w:val="00CB6DA7"/>
    <w:rsid w:val="00CB7E4C"/>
    <w:rsid w:val="00CC25B4"/>
    <w:rsid w:val="00CC5F88"/>
    <w:rsid w:val="00CC69C8"/>
    <w:rsid w:val="00CC77A2"/>
    <w:rsid w:val="00CD307E"/>
    <w:rsid w:val="00CD629F"/>
    <w:rsid w:val="00CD6A1B"/>
    <w:rsid w:val="00CD7249"/>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3786"/>
    <w:rsid w:val="00D67FCF"/>
    <w:rsid w:val="00D709CE"/>
    <w:rsid w:val="00D71F73"/>
    <w:rsid w:val="00D75D0E"/>
    <w:rsid w:val="00D80786"/>
    <w:rsid w:val="00D814D2"/>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F43DA"/>
    <w:rsid w:val="00E0227D"/>
    <w:rsid w:val="00E04B84"/>
    <w:rsid w:val="00E06466"/>
    <w:rsid w:val="00E06835"/>
    <w:rsid w:val="00E06FDA"/>
    <w:rsid w:val="00E160A5"/>
    <w:rsid w:val="00E1713D"/>
    <w:rsid w:val="00E20A43"/>
    <w:rsid w:val="00E2309C"/>
    <w:rsid w:val="00E23898"/>
    <w:rsid w:val="00E319F1"/>
    <w:rsid w:val="00E329D8"/>
    <w:rsid w:val="00E33CD2"/>
    <w:rsid w:val="00E40E90"/>
    <w:rsid w:val="00E45C7E"/>
    <w:rsid w:val="00E473B8"/>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1B4"/>
    <w:rsid w:val="00E94F54"/>
    <w:rsid w:val="00E95AB5"/>
    <w:rsid w:val="00E97AD5"/>
    <w:rsid w:val="00E97E73"/>
    <w:rsid w:val="00EA1111"/>
    <w:rsid w:val="00EA3B4F"/>
    <w:rsid w:val="00EA3C24"/>
    <w:rsid w:val="00EA6616"/>
    <w:rsid w:val="00EA73DF"/>
    <w:rsid w:val="00EB61AE"/>
    <w:rsid w:val="00EC322D"/>
    <w:rsid w:val="00EC6F92"/>
    <w:rsid w:val="00ED383A"/>
    <w:rsid w:val="00ED4F5C"/>
    <w:rsid w:val="00EE1080"/>
    <w:rsid w:val="00EE3B59"/>
    <w:rsid w:val="00EF1EC5"/>
    <w:rsid w:val="00EF4C88"/>
    <w:rsid w:val="00EF55EB"/>
    <w:rsid w:val="00F00DCC"/>
    <w:rsid w:val="00F0156F"/>
    <w:rsid w:val="00F05AC8"/>
    <w:rsid w:val="00F07167"/>
    <w:rsid w:val="00F072D8"/>
    <w:rsid w:val="00F07CE0"/>
    <w:rsid w:val="00F115F5"/>
    <w:rsid w:val="00F13C6A"/>
    <w:rsid w:val="00F13D05"/>
    <w:rsid w:val="00F14F6D"/>
    <w:rsid w:val="00F1679D"/>
    <w:rsid w:val="00F1682C"/>
    <w:rsid w:val="00F201A3"/>
    <w:rsid w:val="00F20B91"/>
    <w:rsid w:val="00F21139"/>
    <w:rsid w:val="00F24B8B"/>
    <w:rsid w:val="00F30D2E"/>
    <w:rsid w:val="00F33125"/>
    <w:rsid w:val="00F3496C"/>
    <w:rsid w:val="00F35516"/>
    <w:rsid w:val="00F35790"/>
    <w:rsid w:val="00F361E3"/>
    <w:rsid w:val="00F4136D"/>
    <w:rsid w:val="00F4212E"/>
    <w:rsid w:val="00F42C20"/>
    <w:rsid w:val="00F43E34"/>
    <w:rsid w:val="00F53053"/>
    <w:rsid w:val="00F53FE2"/>
    <w:rsid w:val="00F575FF"/>
    <w:rsid w:val="00F618EF"/>
    <w:rsid w:val="00F65582"/>
    <w:rsid w:val="00F66E75"/>
    <w:rsid w:val="00F73B38"/>
    <w:rsid w:val="00F77EB0"/>
    <w:rsid w:val="00F87CDD"/>
    <w:rsid w:val="00F933F0"/>
    <w:rsid w:val="00F937A3"/>
    <w:rsid w:val="00F94715"/>
    <w:rsid w:val="00F96A3D"/>
    <w:rsid w:val="00FA4718"/>
    <w:rsid w:val="00FA5848"/>
    <w:rsid w:val="00FA6899"/>
    <w:rsid w:val="00FA7F3D"/>
    <w:rsid w:val="00FB02A0"/>
    <w:rsid w:val="00FB38D8"/>
    <w:rsid w:val="00FB4EA6"/>
    <w:rsid w:val="00FB4FEF"/>
    <w:rsid w:val="00FC051F"/>
    <w:rsid w:val="00FC06FF"/>
    <w:rsid w:val="00FC45F4"/>
    <w:rsid w:val="00FC69B4"/>
    <w:rsid w:val="00FD0694"/>
    <w:rsid w:val="00FD2086"/>
    <w:rsid w:val="00FD25BE"/>
    <w:rsid w:val="00FD2E70"/>
    <w:rsid w:val="00FD7AA7"/>
    <w:rsid w:val="00FF1FCB"/>
    <w:rsid w:val="00FF52D4"/>
    <w:rsid w:val="00FF6AA4"/>
    <w:rsid w:val="00FF6B09"/>
    <w:rsid w:val="00FF7739"/>
    <w:rsid w:val="076D35FB"/>
    <w:rsid w:val="3AF9B67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023CAD5"/>
  <w15:docId w15:val="{999E8C42-685C-2D44-BDF6-D793676BD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35192"/>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A2968"/>
    <w:pPr>
      <w:numPr>
        <w:ilvl w:val="1"/>
      </w:numPr>
      <w:pBdr>
        <w:top w:val="none" w:sz="0" w:space="0" w:color="auto"/>
      </w:pBdr>
      <w:spacing w:before="180"/>
      <w:ind w:left="432"/>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353D4"/>
    <w:pPr>
      <w:numPr>
        <w:ilvl w:val="2"/>
      </w:numPr>
      <w:spacing w:before="120"/>
      <w:ind w:left="504"/>
      <w:outlineLvl w:val="2"/>
    </w:pPr>
  </w:style>
  <w:style w:type="paragraph" w:styleId="Heading4">
    <w:name w:val="heading 4"/>
    <w:basedOn w:val="Heading3"/>
    <w:next w:val="Normal"/>
    <w:link w:val="Heading4Char"/>
    <w:qFormat/>
    <w:rsid w:val="004715B7"/>
    <w:pPr>
      <w:numPr>
        <w:ilvl w:val="3"/>
      </w:numPr>
      <w:ind w:left="648"/>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rsid w:val="00635192"/>
    <w:pPr>
      <w:numPr>
        <w:ilvl w:val="0"/>
      </w:numPr>
      <w:ind w:left="1985" w:hanging="1985"/>
      <w:outlineLvl w:val="5"/>
    </w:pPr>
  </w:style>
  <w:style w:type="paragraph" w:styleId="Heading7">
    <w:name w:val="heading 7"/>
    <w:basedOn w:val="H6"/>
    <w:next w:val="Normal"/>
    <w:link w:val="Heading7Char"/>
    <w:qFormat/>
    <w:rsid w:val="00635192"/>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link w:val="FooterChar"/>
    <w:rsid w:val="009002C7"/>
    <w:pPr>
      <w:widowControl w:val="0"/>
      <w:spacing w:after="0"/>
      <w:jc w:val="center"/>
    </w:pPr>
    <w:rPr>
      <w:rFonts w:ascii="Arial" w:hAnsi="Arial"/>
      <w:b/>
      <w:i/>
      <w:noProof/>
      <w:sz w:val="18"/>
      <w:lang w:eastAsia="sv-SE"/>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2A296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0353D4"/>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Normal"/>
    <w:link w:val="Char0"/>
    <w:rsid w:val="009002C7"/>
    <w:pPr>
      <w:widowControl w:val="0"/>
      <w:overflowPunct w:val="0"/>
      <w:autoSpaceDE w:val="0"/>
      <w:autoSpaceDN w:val="0"/>
      <w:adjustRightInd w:val="0"/>
      <w:spacing w:after="0"/>
      <w:textAlignment w:val="baseline"/>
    </w:pPr>
    <w:rPr>
      <w:rFonts w:ascii="Arial" w:eastAsia="Arial" w:hAnsi="Arial"/>
      <w:b/>
      <w:bCs/>
      <w:noProof/>
      <w:sz w:val="22"/>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4715B7"/>
    <w:rPr>
      <w:rFonts w:ascii="Arial" w:hAnsi="Arial"/>
      <w:sz w:val="28"/>
      <w:szCs w:val="18"/>
      <w:lang w:eastAsia="zh-CN"/>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numbering" w:customStyle="1" w:styleId="CurrentList1">
    <w:name w:val="Current List1"/>
    <w:uiPriority w:val="99"/>
    <w:rsid w:val="00635192"/>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9094338">
      <w:bodyDiv w:val="1"/>
      <w:marLeft w:val="0"/>
      <w:marRight w:val="0"/>
      <w:marTop w:val="0"/>
      <w:marBottom w:val="0"/>
      <w:divBdr>
        <w:top w:val="none" w:sz="0" w:space="0" w:color="auto"/>
        <w:left w:val="none" w:sz="0" w:space="0" w:color="auto"/>
        <w:bottom w:val="none" w:sz="0" w:space="0" w:color="auto"/>
        <w:right w:val="none" w:sz="0" w:space="0" w:color="auto"/>
      </w:divBdr>
      <w:divsChild>
        <w:div w:id="1793590696">
          <w:marLeft w:val="0"/>
          <w:marRight w:val="0"/>
          <w:marTop w:val="0"/>
          <w:marBottom w:val="0"/>
          <w:divBdr>
            <w:top w:val="none" w:sz="0" w:space="0" w:color="auto"/>
            <w:left w:val="none" w:sz="0" w:space="0" w:color="auto"/>
            <w:bottom w:val="none" w:sz="0" w:space="0" w:color="auto"/>
            <w:right w:val="none" w:sz="0" w:space="0" w:color="auto"/>
          </w:divBdr>
          <w:divsChild>
            <w:div w:id="547374605">
              <w:marLeft w:val="0"/>
              <w:marRight w:val="0"/>
              <w:marTop w:val="0"/>
              <w:marBottom w:val="0"/>
              <w:divBdr>
                <w:top w:val="none" w:sz="0" w:space="0" w:color="auto"/>
                <w:left w:val="none" w:sz="0" w:space="0" w:color="auto"/>
                <w:bottom w:val="none" w:sz="0" w:space="0" w:color="auto"/>
                <w:right w:val="none" w:sz="0" w:space="0" w:color="auto"/>
              </w:divBdr>
              <w:divsChild>
                <w:div w:id="42272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099425">
      <w:bodyDiv w:val="1"/>
      <w:marLeft w:val="0"/>
      <w:marRight w:val="0"/>
      <w:marTop w:val="0"/>
      <w:marBottom w:val="0"/>
      <w:divBdr>
        <w:top w:val="none" w:sz="0" w:space="0" w:color="auto"/>
        <w:left w:val="none" w:sz="0" w:space="0" w:color="auto"/>
        <w:bottom w:val="none" w:sz="0" w:space="0" w:color="auto"/>
        <w:right w:val="none" w:sz="0" w:space="0" w:color="auto"/>
      </w:divBdr>
      <w:divsChild>
        <w:div w:id="711879541">
          <w:marLeft w:val="0"/>
          <w:marRight w:val="0"/>
          <w:marTop w:val="0"/>
          <w:marBottom w:val="0"/>
          <w:divBdr>
            <w:top w:val="none" w:sz="0" w:space="0" w:color="auto"/>
            <w:left w:val="none" w:sz="0" w:space="0" w:color="auto"/>
            <w:bottom w:val="none" w:sz="0" w:space="0" w:color="auto"/>
            <w:right w:val="none" w:sz="0" w:space="0" w:color="auto"/>
          </w:divBdr>
          <w:divsChild>
            <w:div w:id="372466432">
              <w:marLeft w:val="0"/>
              <w:marRight w:val="0"/>
              <w:marTop w:val="0"/>
              <w:marBottom w:val="0"/>
              <w:divBdr>
                <w:top w:val="none" w:sz="0" w:space="0" w:color="auto"/>
                <w:left w:val="none" w:sz="0" w:space="0" w:color="auto"/>
                <w:bottom w:val="none" w:sz="0" w:space="0" w:color="auto"/>
                <w:right w:val="none" w:sz="0" w:space="0" w:color="auto"/>
              </w:divBdr>
              <w:divsChild>
                <w:div w:id="15777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3362046">
      <w:bodyDiv w:val="1"/>
      <w:marLeft w:val="0"/>
      <w:marRight w:val="0"/>
      <w:marTop w:val="0"/>
      <w:marBottom w:val="0"/>
      <w:divBdr>
        <w:top w:val="none" w:sz="0" w:space="0" w:color="auto"/>
        <w:left w:val="none" w:sz="0" w:space="0" w:color="auto"/>
        <w:bottom w:val="none" w:sz="0" w:space="0" w:color="auto"/>
        <w:right w:val="none" w:sz="0" w:space="0" w:color="auto"/>
      </w:divBdr>
      <w:divsChild>
        <w:div w:id="2006712511">
          <w:marLeft w:val="0"/>
          <w:marRight w:val="0"/>
          <w:marTop w:val="0"/>
          <w:marBottom w:val="0"/>
          <w:divBdr>
            <w:top w:val="none" w:sz="0" w:space="0" w:color="auto"/>
            <w:left w:val="none" w:sz="0" w:space="0" w:color="auto"/>
            <w:bottom w:val="none" w:sz="0" w:space="0" w:color="auto"/>
            <w:right w:val="none" w:sz="0" w:space="0" w:color="auto"/>
          </w:divBdr>
          <w:divsChild>
            <w:div w:id="754938721">
              <w:marLeft w:val="0"/>
              <w:marRight w:val="0"/>
              <w:marTop w:val="0"/>
              <w:marBottom w:val="0"/>
              <w:divBdr>
                <w:top w:val="none" w:sz="0" w:space="0" w:color="auto"/>
                <w:left w:val="none" w:sz="0" w:space="0" w:color="auto"/>
                <w:bottom w:val="none" w:sz="0" w:space="0" w:color="auto"/>
                <w:right w:val="none" w:sz="0" w:space="0" w:color="auto"/>
              </w:divBdr>
              <w:divsChild>
                <w:div w:id="151722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6758531">
      <w:bodyDiv w:val="1"/>
      <w:marLeft w:val="0"/>
      <w:marRight w:val="0"/>
      <w:marTop w:val="0"/>
      <w:marBottom w:val="0"/>
      <w:divBdr>
        <w:top w:val="none" w:sz="0" w:space="0" w:color="auto"/>
        <w:left w:val="none" w:sz="0" w:space="0" w:color="auto"/>
        <w:bottom w:val="none" w:sz="0" w:space="0" w:color="auto"/>
        <w:right w:val="none" w:sz="0" w:space="0" w:color="auto"/>
      </w:divBdr>
      <w:divsChild>
        <w:div w:id="80874074">
          <w:marLeft w:val="0"/>
          <w:marRight w:val="0"/>
          <w:marTop w:val="0"/>
          <w:marBottom w:val="0"/>
          <w:divBdr>
            <w:top w:val="none" w:sz="0" w:space="0" w:color="auto"/>
            <w:left w:val="none" w:sz="0" w:space="0" w:color="auto"/>
            <w:bottom w:val="none" w:sz="0" w:space="0" w:color="auto"/>
            <w:right w:val="none" w:sz="0" w:space="0" w:color="auto"/>
          </w:divBdr>
          <w:divsChild>
            <w:div w:id="1061707939">
              <w:marLeft w:val="0"/>
              <w:marRight w:val="0"/>
              <w:marTop w:val="0"/>
              <w:marBottom w:val="0"/>
              <w:divBdr>
                <w:top w:val="none" w:sz="0" w:space="0" w:color="auto"/>
                <w:left w:val="none" w:sz="0" w:space="0" w:color="auto"/>
                <w:bottom w:val="none" w:sz="0" w:space="0" w:color="auto"/>
                <w:right w:val="none" w:sz="0" w:space="0" w:color="auto"/>
              </w:divBdr>
              <w:divsChild>
                <w:div w:id="2060786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887099">
      <w:bodyDiv w:val="1"/>
      <w:marLeft w:val="0"/>
      <w:marRight w:val="0"/>
      <w:marTop w:val="0"/>
      <w:marBottom w:val="0"/>
      <w:divBdr>
        <w:top w:val="none" w:sz="0" w:space="0" w:color="auto"/>
        <w:left w:val="none" w:sz="0" w:space="0" w:color="auto"/>
        <w:bottom w:val="none" w:sz="0" w:space="0" w:color="auto"/>
        <w:right w:val="none" w:sz="0" w:space="0" w:color="auto"/>
      </w:divBdr>
      <w:divsChild>
        <w:div w:id="1976136073">
          <w:marLeft w:val="0"/>
          <w:marRight w:val="0"/>
          <w:marTop w:val="0"/>
          <w:marBottom w:val="0"/>
          <w:divBdr>
            <w:top w:val="none" w:sz="0" w:space="0" w:color="auto"/>
            <w:left w:val="none" w:sz="0" w:space="0" w:color="auto"/>
            <w:bottom w:val="none" w:sz="0" w:space="0" w:color="auto"/>
            <w:right w:val="none" w:sz="0" w:space="0" w:color="auto"/>
          </w:divBdr>
          <w:divsChild>
            <w:div w:id="621229633">
              <w:marLeft w:val="0"/>
              <w:marRight w:val="0"/>
              <w:marTop w:val="0"/>
              <w:marBottom w:val="0"/>
              <w:divBdr>
                <w:top w:val="none" w:sz="0" w:space="0" w:color="auto"/>
                <w:left w:val="none" w:sz="0" w:space="0" w:color="auto"/>
                <w:bottom w:val="none" w:sz="0" w:space="0" w:color="auto"/>
                <w:right w:val="none" w:sz="0" w:space="0" w:color="auto"/>
              </w:divBdr>
              <w:divsChild>
                <w:div w:id="482041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727759">
      <w:bodyDiv w:val="1"/>
      <w:marLeft w:val="0"/>
      <w:marRight w:val="0"/>
      <w:marTop w:val="0"/>
      <w:marBottom w:val="0"/>
      <w:divBdr>
        <w:top w:val="none" w:sz="0" w:space="0" w:color="auto"/>
        <w:left w:val="none" w:sz="0" w:space="0" w:color="auto"/>
        <w:bottom w:val="none" w:sz="0" w:space="0" w:color="auto"/>
        <w:right w:val="none" w:sz="0" w:space="0" w:color="auto"/>
      </w:divBdr>
      <w:divsChild>
        <w:div w:id="1574319289">
          <w:marLeft w:val="0"/>
          <w:marRight w:val="0"/>
          <w:marTop w:val="0"/>
          <w:marBottom w:val="0"/>
          <w:divBdr>
            <w:top w:val="none" w:sz="0" w:space="0" w:color="auto"/>
            <w:left w:val="none" w:sz="0" w:space="0" w:color="auto"/>
            <w:bottom w:val="none" w:sz="0" w:space="0" w:color="auto"/>
            <w:right w:val="none" w:sz="0" w:space="0" w:color="auto"/>
          </w:divBdr>
          <w:divsChild>
            <w:div w:id="231236234">
              <w:marLeft w:val="0"/>
              <w:marRight w:val="0"/>
              <w:marTop w:val="0"/>
              <w:marBottom w:val="0"/>
              <w:divBdr>
                <w:top w:val="none" w:sz="0" w:space="0" w:color="auto"/>
                <w:left w:val="none" w:sz="0" w:space="0" w:color="auto"/>
                <w:bottom w:val="none" w:sz="0" w:space="0" w:color="auto"/>
                <w:right w:val="none" w:sz="0" w:space="0" w:color="auto"/>
              </w:divBdr>
              <w:divsChild>
                <w:div w:id="199564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94470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8703196">
      <w:bodyDiv w:val="1"/>
      <w:marLeft w:val="0"/>
      <w:marRight w:val="0"/>
      <w:marTop w:val="0"/>
      <w:marBottom w:val="0"/>
      <w:divBdr>
        <w:top w:val="none" w:sz="0" w:space="0" w:color="auto"/>
        <w:left w:val="none" w:sz="0" w:space="0" w:color="auto"/>
        <w:bottom w:val="none" w:sz="0" w:space="0" w:color="auto"/>
        <w:right w:val="none" w:sz="0" w:space="0" w:color="auto"/>
      </w:divBdr>
      <w:divsChild>
        <w:div w:id="714081626">
          <w:marLeft w:val="0"/>
          <w:marRight w:val="0"/>
          <w:marTop w:val="0"/>
          <w:marBottom w:val="0"/>
          <w:divBdr>
            <w:top w:val="none" w:sz="0" w:space="0" w:color="auto"/>
            <w:left w:val="none" w:sz="0" w:space="0" w:color="auto"/>
            <w:bottom w:val="none" w:sz="0" w:space="0" w:color="auto"/>
            <w:right w:val="none" w:sz="0" w:space="0" w:color="auto"/>
          </w:divBdr>
          <w:divsChild>
            <w:div w:id="1805349877">
              <w:marLeft w:val="0"/>
              <w:marRight w:val="0"/>
              <w:marTop w:val="0"/>
              <w:marBottom w:val="0"/>
              <w:divBdr>
                <w:top w:val="none" w:sz="0" w:space="0" w:color="auto"/>
                <w:left w:val="none" w:sz="0" w:space="0" w:color="auto"/>
                <w:bottom w:val="none" w:sz="0" w:space="0" w:color="auto"/>
                <w:right w:val="none" w:sz="0" w:space="0" w:color="auto"/>
              </w:divBdr>
              <w:divsChild>
                <w:div w:id="11175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8424304">
      <w:bodyDiv w:val="1"/>
      <w:marLeft w:val="0"/>
      <w:marRight w:val="0"/>
      <w:marTop w:val="0"/>
      <w:marBottom w:val="0"/>
      <w:divBdr>
        <w:top w:val="none" w:sz="0" w:space="0" w:color="auto"/>
        <w:left w:val="none" w:sz="0" w:space="0" w:color="auto"/>
        <w:bottom w:val="none" w:sz="0" w:space="0" w:color="auto"/>
        <w:right w:val="none" w:sz="0" w:space="0" w:color="auto"/>
      </w:divBdr>
      <w:divsChild>
        <w:div w:id="1795245937">
          <w:marLeft w:val="0"/>
          <w:marRight w:val="0"/>
          <w:marTop w:val="0"/>
          <w:marBottom w:val="0"/>
          <w:divBdr>
            <w:top w:val="none" w:sz="0" w:space="0" w:color="auto"/>
            <w:left w:val="none" w:sz="0" w:space="0" w:color="auto"/>
            <w:bottom w:val="none" w:sz="0" w:space="0" w:color="auto"/>
            <w:right w:val="none" w:sz="0" w:space="0" w:color="auto"/>
          </w:divBdr>
          <w:divsChild>
            <w:div w:id="2047679426">
              <w:marLeft w:val="0"/>
              <w:marRight w:val="0"/>
              <w:marTop w:val="0"/>
              <w:marBottom w:val="0"/>
              <w:divBdr>
                <w:top w:val="none" w:sz="0" w:space="0" w:color="auto"/>
                <w:left w:val="none" w:sz="0" w:space="0" w:color="auto"/>
                <w:bottom w:val="none" w:sz="0" w:space="0" w:color="auto"/>
                <w:right w:val="none" w:sz="0" w:space="0" w:color="auto"/>
              </w:divBdr>
              <w:divsChild>
                <w:div w:id="37882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6250530">
      <w:bodyDiv w:val="1"/>
      <w:marLeft w:val="0"/>
      <w:marRight w:val="0"/>
      <w:marTop w:val="0"/>
      <w:marBottom w:val="0"/>
      <w:divBdr>
        <w:top w:val="none" w:sz="0" w:space="0" w:color="auto"/>
        <w:left w:val="none" w:sz="0" w:space="0" w:color="auto"/>
        <w:bottom w:val="none" w:sz="0" w:space="0" w:color="auto"/>
        <w:right w:val="none" w:sz="0" w:space="0" w:color="auto"/>
      </w:divBdr>
      <w:divsChild>
        <w:div w:id="1995596266">
          <w:marLeft w:val="0"/>
          <w:marRight w:val="0"/>
          <w:marTop w:val="0"/>
          <w:marBottom w:val="0"/>
          <w:divBdr>
            <w:top w:val="none" w:sz="0" w:space="0" w:color="auto"/>
            <w:left w:val="none" w:sz="0" w:space="0" w:color="auto"/>
            <w:bottom w:val="none" w:sz="0" w:space="0" w:color="auto"/>
            <w:right w:val="none" w:sz="0" w:space="0" w:color="auto"/>
          </w:divBdr>
          <w:divsChild>
            <w:div w:id="1651597519">
              <w:marLeft w:val="0"/>
              <w:marRight w:val="0"/>
              <w:marTop w:val="0"/>
              <w:marBottom w:val="0"/>
              <w:divBdr>
                <w:top w:val="none" w:sz="0" w:space="0" w:color="auto"/>
                <w:left w:val="none" w:sz="0" w:space="0" w:color="auto"/>
                <w:bottom w:val="none" w:sz="0" w:space="0" w:color="auto"/>
                <w:right w:val="none" w:sz="0" w:space="0" w:color="auto"/>
              </w:divBdr>
              <w:divsChild>
                <w:div w:id="20571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9488019">
      <w:bodyDiv w:val="1"/>
      <w:marLeft w:val="0"/>
      <w:marRight w:val="0"/>
      <w:marTop w:val="0"/>
      <w:marBottom w:val="0"/>
      <w:divBdr>
        <w:top w:val="none" w:sz="0" w:space="0" w:color="auto"/>
        <w:left w:val="none" w:sz="0" w:space="0" w:color="auto"/>
        <w:bottom w:val="none" w:sz="0" w:space="0" w:color="auto"/>
        <w:right w:val="none" w:sz="0" w:space="0" w:color="auto"/>
      </w:divBdr>
      <w:divsChild>
        <w:div w:id="2061632925">
          <w:marLeft w:val="0"/>
          <w:marRight w:val="0"/>
          <w:marTop w:val="0"/>
          <w:marBottom w:val="0"/>
          <w:divBdr>
            <w:top w:val="none" w:sz="0" w:space="0" w:color="auto"/>
            <w:left w:val="none" w:sz="0" w:space="0" w:color="auto"/>
            <w:bottom w:val="none" w:sz="0" w:space="0" w:color="auto"/>
            <w:right w:val="none" w:sz="0" w:space="0" w:color="auto"/>
          </w:divBdr>
          <w:divsChild>
            <w:div w:id="675348943">
              <w:marLeft w:val="0"/>
              <w:marRight w:val="0"/>
              <w:marTop w:val="0"/>
              <w:marBottom w:val="0"/>
              <w:divBdr>
                <w:top w:val="none" w:sz="0" w:space="0" w:color="auto"/>
                <w:left w:val="none" w:sz="0" w:space="0" w:color="auto"/>
                <w:bottom w:val="none" w:sz="0" w:space="0" w:color="auto"/>
                <w:right w:val="none" w:sz="0" w:space="0" w:color="auto"/>
              </w:divBdr>
              <w:divsChild>
                <w:div w:id="687099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760170">
      <w:bodyDiv w:val="1"/>
      <w:marLeft w:val="0"/>
      <w:marRight w:val="0"/>
      <w:marTop w:val="0"/>
      <w:marBottom w:val="0"/>
      <w:divBdr>
        <w:top w:val="none" w:sz="0" w:space="0" w:color="auto"/>
        <w:left w:val="none" w:sz="0" w:space="0" w:color="auto"/>
        <w:bottom w:val="none" w:sz="0" w:space="0" w:color="auto"/>
        <w:right w:val="none" w:sz="0" w:space="0" w:color="auto"/>
      </w:divBdr>
      <w:divsChild>
        <w:div w:id="44305258">
          <w:marLeft w:val="0"/>
          <w:marRight w:val="0"/>
          <w:marTop w:val="0"/>
          <w:marBottom w:val="0"/>
          <w:divBdr>
            <w:top w:val="none" w:sz="0" w:space="0" w:color="auto"/>
            <w:left w:val="none" w:sz="0" w:space="0" w:color="auto"/>
            <w:bottom w:val="none" w:sz="0" w:space="0" w:color="auto"/>
            <w:right w:val="none" w:sz="0" w:space="0" w:color="auto"/>
          </w:divBdr>
          <w:divsChild>
            <w:div w:id="630749409">
              <w:marLeft w:val="0"/>
              <w:marRight w:val="0"/>
              <w:marTop w:val="0"/>
              <w:marBottom w:val="0"/>
              <w:divBdr>
                <w:top w:val="none" w:sz="0" w:space="0" w:color="auto"/>
                <w:left w:val="none" w:sz="0" w:space="0" w:color="auto"/>
                <w:bottom w:val="none" w:sz="0" w:space="0" w:color="auto"/>
                <w:right w:val="none" w:sz="0" w:space="0" w:color="auto"/>
              </w:divBdr>
              <w:divsChild>
                <w:div w:id="1217547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Group%20Containers/UBF8T346G9.Office/User%20Content.localized/Templates.localized/3GPP_contribution_LS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C6631A-E415-41B3-957F-26A674920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EA7C6F-42CD-4815-9995-9E0D25E191E6}">
  <ds:schemaRefs>
    <ds:schemaRef ds:uri="http://schemas.microsoft.com/sharepoint/v3/contenttype/forms"/>
  </ds:schemaRefs>
</ds:datastoreItem>
</file>

<file path=customXml/itemProps3.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customXml/itemProps4.xml><?xml version="1.0" encoding="utf-8"?>
<ds:datastoreItem xmlns:ds="http://schemas.openxmlformats.org/officeDocument/2006/customXml" ds:itemID="{EAD8552B-9E65-46AE-A946-876CBDCD8F4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3GPP_contribution_LS_template.dotx</Template>
  <TotalTime>302</TotalTime>
  <Pages>4</Pages>
  <Words>1442</Words>
  <Characters>8224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Deep Shrestha</cp:lastModifiedBy>
  <cp:revision>27</cp:revision>
  <cp:lastPrinted>2019-04-25T01:09:00Z</cp:lastPrinted>
  <dcterms:created xsi:type="dcterms:W3CDTF">2022-08-01T15:10:00Z</dcterms:created>
  <dcterms:modified xsi:type="dcterms:W3CDTF">2022-08-10T19:38:00Z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y fmtid="{D5CDD505-2E9C-101B-9397-08002B2CF9AE}" pid="16" name="MediaServiceImageTags">
    <vt:lpwstr/>
  </property>
</Properties>
</file>